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rawings/drawing1.xml" ContentType="application/vnd.openxmlformats-officedocument.drawingml.chartshapes+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harts/chart3.xml" ContentType="application/vnd.openxmlformats-officedocument.drawingml.chart+xml"/>
  <Override PartName="/word/charts/chart1.xml" ContentType="application/vnd.openxmlformats-officedocument.drawingml.chart+xml"/>
  <Override PartName="/word/charts/chart2.xml" ContentType="application/vnd.openxmlformats-officedocument.drawingml.chart+xml"/>
  <Override PartName="/word/settings.xml" ContentType="application/vnd.openxmlformats-officedocument.wordprocessingml.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026" w:rsidRPr="003160BD" w:rsidRDefault="00EB6026" w:rsidP="00EB6026">
      <w:pPr>
        <w:rPr>
          <w:b/>
        </w:rPr>
      </w:pPr>
      <w:proofErr w:type="spellStart"/>
      <w:r w:rsidRPr="003160BD">
        <w:rPr>
          <w:b/>
        </w:rPr>
        <w:t>Hafod’s</w:t>
      </w:r>
      <w:proofErr w:type="spellEnd"/>
      <w:r w:rsidRPr="003160BD">
        <w:rPr>
          <w:b/>
        </w:rPr>
        <w:t xml:space="preserve"> Organisational Culture Profile </w:t>
      </w:r>
    </w:p>
    <w:p w:rsidR="00EB6026" w:rsidRDefault="00EB6026" w:rsidP="00EB6026">
      <w:pPr>
        <w:rPr>
          <w:sz w:val="24"/>
        </w:rPr>
      </w:pPr>
      <w:r w:rsidRPr="00930844">
        <w:rPr>
          <w:sz w:val="24"/>
        </w:rPr>
        <w:t xml:space="preserve">In </w:t>
      </w:r>
      <w:r>
        <w:rPr>
          <w:sz w:val="24"/>
        </w:rPr>
        <w:t>September</w:t>
      </w:r>
      <w:r w:rsidRPr="00930844">
        <w:rPr>
          <w:sz w:val="24"/>
        </w:rPr>
        <w:t xml:space="preserve"> 2018, Hafod Board Members and a selection of staff were invited to take part in a cultural profile survey</w:t>
      </w:r>
      <w:r w:rsidRPr="003160BD">
        <w:rPr>
          <w:sz w:val="24"/>
        </w:rPr>
        <w:t xml:space="preserve"> </w:t>
      </w:r>
      <w:r>
        <w:rPr>
          <w:sz w:val="24"/>
        </w:rPr>
        <w:t xml:space="preserve">based on the work of </w:t>
      </w:r>
      <w:proofErr w:type="spellStart"/>
      <w:r>
        <w:rPr>
          <w:sz w:val="24"/>
        </w:rPr>
        <w:t>Groysberg</w:t>
      </w:r>
      <w:proofErr w:type="spellEnd"/>
      <w:r>
        <w:rPr>
          <w:sz w:val="24"/>
        </w:rPr>
        <w:t xml:space="preserve"> </w:t>
      </w:r>
      <w:r w:rsidRPr="00930844">
        <w:rPr>
          <w:i/>
          <w:sz w:val="24"/>
        </w:rPr>
        <w:t>et al</w:t>
      </w:r>
      <w:r>
        <w:rPr>
          <w:sz w:val="24"/>
        </w:rPr>
        <w:t xml:space="preserve"> (2018)</w:t>
      </w:r>
      <w:r>
        <w:rPr>
          <w:rStyle w:val="EndnoteReference"/>
          <w:sz w:val="24"/>
        </w:rPr>
        <w:endnoteReference w:id="1"/>
      </w:r>
      <w:r>
        <w:rPr>
          <w:sz w:val="24"/>
        </w:rPr>
        <w:t xml:space="preserve"> of Harvard Business School.  This exercise was first undertaken in March 2018 and this follow-up survey was designed to record any changes to the perceived culture of Hafod throughout a period of organisational change.  </w:t>
      </w:r>
    </w:p>
    <w:p w:rsidR="00F1768D" w:rsidRDefault="00F1768D" w:rsidP="00EB6026">
      <w:pPr>
        <w:rPr>
          <w:b/>
          <w:sz w:val="24"/>
        </w:rPr>
      </w:pPr>
      <w:bookmarkStart w:id="0" w:name="_GoBack"/>
      <w:bookmarkEnd w:id="0"/>
    </w:p>
    <w:p w:rsidR="00EB6026" w:rsidRPr="00930844" w:rsidRDefault="00EB6026" w:rsidP="00EB6026">
      <w:pPr>
        <w:rPr>
          <w:b/>
          <w:sz w:val="24"/>
        </w:rPr>
      </w:pPr>
      <w:r w:rsidRPr="00930844">
        <w:rPr>
          <w:b/>
          <w:sz w:val="24"/>
        </w:rPr>
        <w:t xml:space="preserve">Methodology </w:t>
      </w:r>
    </w:p>
    <w:p w:rsidR="00EB6026" w:rsidRDefault="00EB6026" w:rsidP="00EB6026">
      <w:pPr>
        <w:rPr>
          <w:sz w:val="24"/>
        </w:rPr>
      </w:pPr>
      <w:r w:rsidRPr="00930844">
        <w:rPr>
          <w:sz w:val="24"/>
        </w:rPr>
        <w:t xml:space="preserve">Participants were invited to rank, on a five-point scale, how well they thought each of 16 statements described Hafod.  The statements were paired and organised into eight themes, </w:t>
      </w:r>
      <w:r>
        <w:rPr>
          <w:sz w:val="24"/>
        </w:rPr>
        <w:t xml:space="preserve">or attributes, </w:t>
      </w:r>
      <w:r w:rsidRPr="00930844">
        <w:rPr>
          <w:sz w:val="24"/>
        </w:rPr>
        <w:t xml:space="preserve">with the scores added to give an overall score for the </w:t>
      </w:r>
      <w:r>
        <w:rPr>
          <w:sz w:val="24"/>
        </w:rPr>
        <w:t>attribute</w:t>
      </w:r>
      <w:r w:rsidRPr="00930844">
        <w:rPr>
          <w:sz w:val="24"/>
        </w:rPr>
        <w:t xml:space="preserve">, </w:t>
      </w:r>
      <w:r w:rsidRPr="00930844">
        <w:rPr>
          <w:i/>
          <w:sz w:val="24"/>
        </w:rPr>
        <w:t>e.g.</w:t>
      </w:r>
      <w:r w:rsidRPr="00930844">
        <w:rPr>
          <w:sz w:val="24"/>
        </w:rPr>
        <w:t xml:space="preserve"> the ratings out of five for the statements “the organisation is focused on collaboration and mutual trust” and “the organisation feels like a big family” add together to form a score out of ten for the </w:t>
      </w:r>
      <w:r>
        <w:rPr>
          <w:sz w:val="24"/>
        </w:rPr>
        <w:t>attribute</w:t>
      </w:r>
      <w:r w:rsidRPr="00930844">
        <w:rPr>
          <w:sz w:val="24"/>
        </w:rPr>
        <w:t xml:space="preserve"> of “Caring”. </w:t>
      </w:r>
      <w:r>
        <w:rPr>
          <w:sz w:val="24"/>
        </w:rPr>
        <w:t xml:space="preserve"> </w:t>
      </w:r>
    </w:p>
    <w:p w:rsidR="00EB6026" w:rsidRPr="001664B7" w:rsidRDefault="00EB6026" w:rsidP="00EB6026">
      <w:pPr>
        <w:jc w:val="center"/>
        <w:rPr>
          <w:i/>
          <w:sz w:val="24"/>
        </w:rPr>
      </w:pPr>
      <w:r w:rsidRPr="001664B7">
        <w:rPr>
          <w:i/>
          <w:sz w:val="24"/>
        </w:rPr>
        <w:t>Table 1: Statements and attributes</w:t>
      </w:r>
    </w:p>
    <w:tbl>
      <w:tblPr>
        <w:tblStyle w:val="TableGrid"/>
        <w:tblW w:w="0" w:type="auto"/>
        <w:jc w:val="center"/>
        <w:tblLayout w:type="fixed"/>
        <w:tblLook w:val="04A0" w:firstRow="1" w:lastRow="0" w:firstColumn="1" w:lastColumn="0" w:noHBand="0" w:noVBand="1"/>
      </w:tblPr>
      <w:tblGrid>
        <w:gridCol w:w="3227"/>
        <w:gridCol w:w="425"/>
        <w:gridCol w:w="3827"/>
        <w:gridCol w:w="413"/>
        <w:gridCol w:w="1350"/>
      </w:tblGrid>
      <w:tr w:rsidR="00EB6026" w:rsidRPr="00930844" w:rsidTr="00536CAF">
        <w:trPr>
          <w:jc w:val="center"/>
        </w:trPr>
        <w:tc>
          <w:tcPr>
            <w:tcW w:w="3227" w:type="dxa"/>
            <w:vAlign w:val="center"/>
          </w:tcPr>
          <w:p w:rsidR="00EB6026" w:rsidRPr="00930844" w:rsidRDefault="00EB6026" w:rsidP="00536CAF">
            <w:pPr>
              <w:spacing w:before="60" w:after="60"/>
              <w:jc w:val="center"/>
              <w:rPr>
                <w:b/>
                <w:sz w:val="24"/>
              </w:rPr>
            </w:pPr>
            <w:r w:rsidRPr="00930844">
              <w:rPr>
                <w:b/>
                <w:sz w:val="24"/>
              </w:rPr>
              <w:t>The organisation is focused on</w:t>
            </w:r>
          </w:p>
        </w:tc>
        <w:tc>
          <w:tcPr>
            <w:tcW w:w="425" w:type="dxa"/>
            <w:vAlign w:val="center"/>
          </w:tcPr>
          <w:p w:rsidR="00EB6026" w:rsidRPr="00930844" w:rsidRDefault="00EB6026" w:rsidP="00536CAF">
            <w:pPr>
              <w:spacing w:before="60" w:after="60"/>
              <w:jc w:val="center"/>
              <w:rPr>
                <w:b/>
                <w:sz w:val="24"/>
              </w:rPr>
            </w:pPr>
            <w:r w:rsidRPr="00930844">
              <w:rPr>
                <w:b/>
                <w:sz w:val="24"/>
              </w:rPr>
              <w:t>+</w:t>
            </w:r>
          </w:p>
        </w:tc>
        <w:tc>
          <w:tcPr>
            <w:tcW w:w="3827" w:type="dxa"/>
            <w:vAlign w:val="center"/>
          </w:tcPr>
          <w:p w:rsidR="00EB6026" w:rsidRPr="00930844" w:rsidRDefault="00EB6026" w:rsidP="00536CAF">
            <w:pPr>
              <w:spacing w:before="60" w:after="60"/>
              <w:jc w:val="center"/>
              <w:rPr>
                <w:b/>
                <w:sz w:val="24"/>
              </w:rPr>
            </w:pPr>
            <w:r w:rsidRPr="00930844">
              <w:rPr>
                <w:b/>
                <w:sz w:val="24"/>
              </w:rPr>
              <w:t>The organisation feels like</w:t>
            </w:r>
          </w:p>
        </w:tc>
        <w:tc>
          <w:tcPr>
            <w:tcW w:w="413" w:type="dxa"/>
            <w:vAlign w:val="center"/>
          </w:tcPr>
          <w:p w:rsidR="00EB6026" w:rsidRPr="00930844" w:rsidRDefault="00EB6026" w:rsidP="00536CAF">
            <w:pPr>
              <w:spacing w:before="60" w:after="60"/>
              <w:jc w:val="center"/>
              <w:rPr>
                <w:b/>
                <w:sz w:val="24"/>
              </w:rPr>
            </w:pPr>
            <w:r w:rsidRPr="00930844">
              <w:rPr>
                <w:b/>
                <w:sz w:val="24"/>
              </w:rPr>
              <w:t>=</w:t>
            </w:r>
          </w:p>
        </w:tc>
        <w:tc>
          <w:tcPr>
            <w:tcW w:w="1350" w:type="dxa"/>
            <w:vAlign w:val="center"/>
          </w:tcPr>
          <w:p w:rsidR="00EB6026" w:rsidRPr="00930844" w:rsidRDefault="00EB6026" w:rsidP="00536CAF">
            <w:pPr>
              <w:spacing w:before="60" w:after="60"/>
              <w:jc w:val="center"/>
              <w:rPr>
                <w:b/>
                <w:sz w:val="24"/>
              </w:rPr>
            </w:pPr>
            <w:r w:rsidRPr="00930844">
              <w:rPr>
                <w:b/>
                <w:sz w:val="24"/>
              </w:rPr>
              <w:t>Total</w:t>
            </w:r>
          </w:p>
        </w:tc>
      </w:tr>
      <w:tr w:rsidR="00EB6026" w:rsidTr="00536CAF">
        <w:trPr>
          <w:jc w:val="center"/>
        </w:trPr>
        <w:tc>
          <w:tcPr>
            <w:tcW w:w="3227" w:type="dxa"/>
            <w:vAlign w:val="center"/>
          </w:tcPr>
          <w:p w:rsidR="00EB6026" w:rsidRDefault="00EB6026" w:rsidP="00536CAF">
            <w:pPr>
              <w:spacing w:before="60" w:after="60"/>
              <w:jc w:val="center"/>
              <w:rPr>
                <w:sz w:val="24"/>
              </w:rPr>
            </w:pPr>
            <w:r>
              <w:rPr>
                <w:sz w:val="24"/>
              </w:rPr>
              <w:t>Collaboration &amp; mutual trust</w:t>
            </w:r>
          </w:p>
        </w:tc>
        <w:tc>
          <w:tcPr>
            <w:tcW w:w="425" w:type="dxa"/>
            <w:vAlign w:val="center"/>
          </w:tcPr>
          <w:p w:rsidR="00EB6026" w:rsidRDefault="00EB6026" w:rsidP="00536CAF">
            <w:pPr>
              <w:spacing w:before="60" w:after="60"/>
              <w:jc w:val="center"/>
              <w:rPr>
                <w:sz w:val="24"/>
              </w:rPr>
            </w:pPr>
            <w:r>
              <w:rPr>
                <w:sz w:val="24"/>
              </w:rPr>
              <w:t>+</w:t>
            </w:r>
          </w:p>
        </w:tc>
        <w:tc>
          <w:tcPr>
            <w:tcW w:w="3827" w:type="dxa"/>
            <w:vAlign w:val="center"/>
          </w:tcPr>
          <w:p w:rsidR="00EB6026" w:rsidRDefault="00EB6026" w:rsidP="00536CAF">
            <w:pPr>
              <w:spacing w:before="60" w:after="60"/>
              <w:jc w:val="center"/>
              <w:rPr>
                <w:sz w:val="24"/>
              </w:rPr>
            </w:pPr>
            <w:r>
              <w:rPr>
                <w:sz w:val="24"/>
              </w:rPr>
              <w:t>A big family</w:t>
            </w:r>
          </w:p>
        </w:tc>
        <w:tc>
          <w:tcPr>
            <w:tcW w:w="413" w:type="dxa"/>
            <w:vAlign w:val="center"/>
          </w:tcPr>
          <w:p w:rsidR="00EB6026" w:rsidRDefault="00EB6026" w:rsidP="00536CAF">
            <w:pPr>
              <w:spacing w:before="60" w:after="60"/>
              <w:jc w:val="center"/>
              <w:rPr>
                <w:sz w:val="24"/>
              </w:rPr>
            </w:pPr>
            <w:r>
              <w:rPr>
                <w:sz w:val="24"/>
              </w:rPr>
              <w:t>=</w:t>
            </w:r>
          </w:p>
        </w:tc>
        <w:tc>
          <w:tcPr>
            <w:tcW w:w="1350" w:type="dxa"/>
            <w:vAlign w:val="center"/>
          </w:tcPr>
          <w:p w:rsidR="00EB6026" w:rsidRDefault="00EB6026" w:rsidP="00536CAF">
            <w:pPr>
              <w:spacing w:before="60" w:after="60"/>
              <w:jc w:val="center"/>
              <w:rPr>
                <w:sz w:val="24"/>
              </w:rPr>
            </w:pPr>
            <w:r>
              <w:rPr>
                <w:sz w:val="24"/>
              </w:rPr>
              <w:t>Caring</w:t>
            </w:r>
          </w:p>
        </w:tc>
      </w:tr>
      <w:tr w:rsidR="00EB6026" w:rsidTr="00536CAF">
        <w:trPr>
          <w:jc w:val="center"/>
        </w:trPr>
        <w:tc>
          <w:tcPr>
            <w:tcW w:w="3227" w:type="dxa"/>
            <w:vAlign w:val="center"/>
          </w:tcPr>
          <w:p w:rsidR="00EB6026" w:rsidRDefault="00EB6026" w:rsidP="00536CAF">
            <w:pPr>
              <w:spacing w:before="60" w:after="60"/>
              <w:jc w:val="center"/>
              <w:rPr>
                <w:sz w:val="24"/>
              </w:rPr>
            </w:pPr>
            <w:r>
              <w:rPr>
                <w:sz w:val="24"/>
              </w:rPr>
              <w:t>Compassion &amp; tolerance</w:t>
            </w:r>
          </w:p>
        </w:tc>
        <w:tc>
          <w:tcPr>
            <w:tcW w:w="425" w:type="dxa"/>
            <w:vAlign w:val="center"/>
          </w:tcPr>
          <w:p w:rsidR="00EB6026" w:rsidRDefault="00EB6026" w:rsidP="00536CAF">
            <w:pPr>
              <w:spacing w:before="60" w:after="60"/>
              <w:jc w:val="center"/>
              <w:rPr>
                <w:sz w:val="24"/>
              </w:rPr>
            </w:pPr>
            <w:r>
              <w:rPr>
                <w:sz w:val="24"/>
              </w:rPr>
              <w:t>+</w:t>
            </w:r>
          </w:p>
        </w:tc>
        <w:tc>
          <w:tcPr>
            <w:tcW w:w="3827" w:type="dxa"/>
            <w:vAlign w:val="center"/>
          </w:tcPr>
          <w:p w:rsidR="00EB6026" w:rsidRDefault="00EB6026" w:rsidP="00536CAF">
            <w:pPr>
              <w:spacing w:before="60" w:after="60"/>
              <w:jc w:val="center"/>
              <w:rPr>
                <w:sz w:val="24"/>
              </w:rPr>
            </w:pPr>
            <w:r>
              <w:rPr>
                <w:sz w:val="24"/>
              </w:rPr>
              <w:t>An idealistic community or cause</w:t>
            </w:r>
          </w:p>
        </w:tc>
        <w:tc>
          <w:tcPr>
            <w:tcW w:w="413" w:type="dxa"/>
            <w:vAlign w:val="center"/>
          </w:tcPr>
          <w:p w:rsidR="00EB6026" w:rsidRDefault="00EB6026" w:rsidP="00536CAF">
            <w:pPr>
              <w:spacing w:before="60" w:after="60"/>
              <w:jc w:val="center"/>
              <w:rPr>
                <w:sz w:val="24"/>
              </w:rPr>
            </w:pPr>
            <w:r>
              <w:rPr>
                <w:sz w:val="24"/>
              </w:rPr>
              <w:t>=</w:t>
            </w:r>
          </w:p>
        </w:tc>
        <w:tc>
          <w:tcPr>
            <w:tcW w:w="1350" w:type="dxa"/>
            <w:vAlign w:val="center"/>
          </w:tcPr>
          <w:p w:rsidR="00EB6026" w:rsidRDefault="00EB6026" w:rsidP="00536CAF">
            <w:pPr>
              <w:spacing w:before="60" w:after="60"/>
              <w:jc w:val="center"/>
              <w:rPr>
                <w:sz w:val="24"/>
              </w:rPr>
            </w:pPr>
            <w:r>
              <w:rPr>
                <w:sz w:val="24"/>
              </w:rPr>
              <w:t>Purpose</w:t>
            </w:r>
          </w:p>
        </w:tc>
      </w:tr>
      <w:tr w:rsidR="00EB6026" w:rsidTr="00536CAF">
        <w:trPr>
          <w:jc w:val="center"/>
        </w:trPr>
        <w:tc>
          <w:tcPr>
            <w:tcW w:w="3227" w:type="dxa"/>
            <w:vAlign w:val="center"/>
          </w:tcPr>
          <w:p w:rsidR="00EB6026" w:rsidRDefault="00EB6026" w:rsidP="00536CAF">
            <w:pPr>
              <w:spacing w:before="60" w:after="60"/>
              <w:jc w:val="center"/>
              <w:rPr>
                <w:sz w:val="24"/>
              </w:rPr>
            </w:pPr>
            <w:r>
              <w:rPr>
                <w:sz w:val="24"/>
              </w:rPr>
              <w:t>Exploration &amp; creativity</w:t>
            </w:r>
          </w:p>
        </w:tc>
        <w:tc>
          <w:tcPr>
            <w:tcW w:w="425" w:type="dxa"/>
            <w:vAlign w:val="center"/>
          </w:tcPr>
          <w:p w:rsidR="00EB6026" w:rsidRDefault="00EB6026" w:rsidP="00536CAF">
            <w:pPr>
              <w:spacing w:before="60" w:after="60"/>
              <w:jc w:val="center"/>
              <w:rPr>
                <w:sz w:val="24"/>
              </w:rPr>
            </w:pPr>
            <w:r>
              <w:rPr>
                <w:sz w:val="24"/>
              </w:rPr>
              <w:t>+</w:t>
            </w:r>
          </w:p>
        </w:tc>
        <w:tc>
          <w:tcPr>
            <w:tcW w:w="3827" w:type="dxa"/>
            <w:vAlign w:val="center"/>
          </w:tcPr>
          <w:p w:rsidR="00EB6026" w:rsidRDefault="00EB6026" w:rsidP="00536CAF">
            <w:pPr>
              <w:spacing w:before="60" w:after="60"/>
              <w:jc w:val="center"/>
              <w:rPr>
                <w:sz w:val="24"/>
              </w:rPr>
            </w:pPr>
            <w:r>
              <w:rPr>
                <w:sz w:val="24"/>
              </w:rPr>
              <w:t>A dynamic project</w:t>
            </w:r>
          </w:p>
        </w:tc>
        <w:tc>
          <w:tcPr>
            <w:tcW w:w="413" w:type="dxa"/>
            <w:vAlign w:val="center"/>
          </w:tcPr>
          <w:p w:rsidR="00EB6026" w:rsidRDefault="00EB6026" w:rsidP="00536CAF">
            <w:pPr>
              <w:spacing w:before="60" w:after="60"/>
              <w:jc w:val="center"/>
              <w:rPr>
                <w:sz w:val="24"/>
              </w:rPr>
            </w:pPr>
            <w:r>
              <w:rPr>
                <w:sz w:val="24"/>
              </w:rPr>
              <w:t>=</w:t>
            </w:r>
          </w:p>
        </w:tc>
        <w:tc>
          <w:tcPr>
            <w:tcW w:w="1350" w:type="dxa"/>
            <w:vAlign w:val="center"/>
          </w:tcPr>
          <w:p w:rsidR="00EB6026" w:rsidRDefault="00EB6026" w:rsidP="00536CAF">
            <w:pPr>
              <w:spacing w:before="60" w:after="60"/>
              <w:jc w:val="center"/>
              <w:rPr>
                <w:sz w:val="24"/>
              </w:rPr>
            </w:pPr>
            <w:r>
              <w:rPr>
                <w:sz w:val="24"/>
              </w:rPr>
              <w:t>Learning</w:t>
            </w:r>
          </w:p>
        </w:tc>
      </w:tr>
      <w:tr w:rsidR="00EB6026" w:rsidTr="00536CAF">
        <w:trPr>
          <w:jc w:val="center"/>
        </w:trPr>
        <w:tc>
          <w:tcPr>
            <w:tcW w:w="3227" w:type="dxa"/>
            <w:vAlign w:val="center"/>
          </w:tcPr>
          <w:p w:rsidR="00EB6026" w:rsidRDefault="00EB6026" w:rsidP="00536CAF">
            <w:pPr>
              <w:spacing w:before="60" w:after="60"/>
              <w:jc w:val="center"/>
              <w:rPr>
                <w:sz w:val="24"/>
              </w:rPr>
            </w:pPr>
            <w:r>
              <w:rPr>
                <w:sz w:val="24"/>
              </w:rPr>
              <w:t>Fun &amp; excitement</w:t>
            </w:r>
          </w:p>
        </w:tc>
        <w:tc>
          <w:tcPr>
            <w:tcW w:w="425" w:type="dxa"/>
            <w:vAlign w:val="center"/>
          </w:tcPr>
          <w:p w:rsidR="00EB6026" w:rsidRDefault="00EB6026" w:rsidP="00536CAF">
            <w:pPr>
              <w:spacing w:before="60" w:after="60"/>
              <w:jc w:val="center"/>
              <w:rPr>
                <w:sz w:val="24"/>
              </w:rPr>
            </w:pPr>
            <w:r>
              <w:rPr>
                <w:sz w:val="24"/>
              </w:rPr>
              <w:t>+</w:t>
            </w:r>
          </w:p>
        </w:tc>
        <w:tc>
          <w:tcPr>
            <w:tcW w:w="3827" w:type="dxa"/>
            <w:vAlign w:val="center"/>
          </w:tcPr>
          <w:p w:rsidR="00EB6026" w:rsidRDefault="00EB6026" w:rsidP="00536CAF">
            <w:pPr>
              <w:spacing w:before="60" w:after="60"/>
              <w:jc w:val="center"/>
              <w:rPr>
                <w:sz w:val="24"/>
              </w:rPr>
            </w:pPr>
            <w:r>
              <w:rPr>
                <w:sz w:val="24"/>
              </w:rPr>
              <w:t>A celebration</w:t>
            </w:r>
          </w:p>
        </w:tc>
        <w:tc>
          <w:tcPr>
            <w:tcW w:w="413" w:type="dxa"/>
            <w:vAlign w:val="center"/>
          </w:tcPr>
          <w:p w:rsidR="00EB6026" w:rsidRDefault="00EB6026" w:rsidP="00536CAF">
            <w:pPr>
              <w:spacing w:before="60" w:after="60"/>
              <w:jc w:val="center"/>
              <w:rPr>
                <w:sz w:val="24"/>
              </w:rPr>
            </w:pPr>
            <w:r>
              <w:rPr>
                <w:sz w:val="24"/>
              </w:rPr>
              <w:t>=</w:t>
            </w:r>
          </w:p>
        </w:tc>
        <w:tc>
          <w:tcPr>
            <w:tcW w:w="1350" w:type="dxa"/>
            <w:vAlign w:val="center"/>
          </w:tcPr>
          <w:p w:rsidR="00EB6026" w:rsidRDefault="00EB6026" w:rsidP="00536CAF">
            <w:pPr>
              <w:spacing w:before="60" w:after="60"/>
              <w:jc w:val="center"/>
              <w:rPr>
                <w:sz w:val="24"/>
              </w:rPr>
            </w:pPr>
            <w:r>
              <w:rPr>
                <w:sz w:val="24"/>
              </w:rPr>
              <w:t>Enjoyment</w:t>
            </w:r>
          </w:p>
        </w:tc>
      </w:tr>
      <w:tr w:rsidR="00EB6026" w:rsidTr="00536CAF">
        <w:trPr>
          <w:jc w:val="center"/>
        </w:trPr>
        <w:tc>
          <w:tcPr>
            <w:tcW w:w="3227" w:type="dxa"/>
            <w:vAlign w:val="center"/>
          </w:tcPr>
          <w:p w:rsidR="00EB6026" w:rsidRDefault="00EB6026" w:rsidP="00536CAF">
            <w:pPr>
              <w:spacing w:before="60" w:after="60"/>
              <w:jc w:val="center"/>
              <w:rPr>
                <w:sz w:val="24"/>
              </w:rPr>
            </w:pPr>
            <w:r>
              <w:rPr>
                <w:sz w:val="24"/>
              </w:rPr>
              <w:t>Achievement &amp; winning</w:t>
            </w:r>
          </w:p>
        </w:tc>
        <w:tc>
          <w:tcPr>
            <w:tcW w:w="425" w:type="dxa"/>
            <w:vAlign w:val="center"/>
          </w:tcPr>
          <w:p w:rsidR="00EB6026" w:rsidRDefault="00EB6026" w:rsidP="00536CAF">
            <w:pPr>
              <w:spacing w:before="60" w:after="60"/>
              <w:jc w:val="center"/>
              <w:rPr>
                <w:sz w:val="24"/>
              </w:rPr>
            </w:pPr>
            <w:r>
              <w:rPr>
                <w:sz w:val="24"/>
              </w:rPr>
              <w:t>+</w:t>
            </w:r>
          </w:p>
        </w:tc>
        <w:tc>
          <w:tcPr>
            <w:tcW w:w="3827" w:type="dxa"/>
            <w:vAlign w:val="center"/>
          </w:tcPr>
          <w:p w:rsidR="00EB6026" w:rsidRDefault="00EB6026" w:rsidP="00536CAF">
            <w:pPr>
              <w:spacing w:before="60" w:after="60"/>
              <w:jc w:val="center"/>
              <w:rPr>
                <w:sz w:val="24"/>
              </w:rPr>
            </w:pPr>
            <w:r>
              <w:rPr>
                <w:sz w:val="24"/>
              </w:rPr>
              <w:t>A meritocracy</w:t>
            </w:r>
          </w:p>
        </w:tc>
        <w:tc>
          <w:tcPr>
            <w:tcW w:w="413" w:type="dxa"/>
            <w:vAlign w:val="center"/>
          </w:tcPr>
          <w:p w:rsidR="00EB6026" w:rsidRDefault="00EB6026" w:rsidP="00536CAF">
            <w:pPr>
              <w:spacing w:before="60" w:after="60"/>
              <w:jc w:val="center"/>
              <w:rPr>
                <w:sz w:val="24"/>
              </w:rPr>
            </w:pPr>
            <w:r>
              <w:rPr>
                <w:sz w:val="24"/>
              </w:rPr>
              <w:t>=</w:t>
            </w:r>
          </w:p>
        </w:tc>
        <w:tc>
          <w:tcPr>
            <w:tcW w:w="1350" w:type="dxa"/>
            <w:vAlign w:val="center"/>
          </w:tcPr>
          <w:p w:rsidR="00EB6026" w:rsidRDefault="00EB6026" w:rsidP="00536CAF">
            <w:pPr>
              <w:spacing w:before="60" w:after="60"/>
              <w:jc w:val="center"/>
              <w:rPr>
                <w:sz w:val="24"/>
              </w:rPr>
            </w:pPr>
            <w:r>
              <w:rPr>
                <w:sz w:val="24"/>
              </w:rPr>
              <w:t>Results</w:t>
            </w:r>
          </w:p>
        </w:tc>
      </w:tr>
      <w:tr w:rsidR="00EB6026" w:rsidTr="00536CAF">
        <w:trPr>
          <w:jc w:val="center"/>
        </w:trPr>
        <w:tc>
          <w:tcPr>
            <w:tcW w:w="3227" w:type="dxa"/>
            <w:vAlign w:val="center"/>
          </w:tcPr>
          <w:p w:rsidR="00EB6026" w:rsidRDefault="00EB6026" w:rsidP="00536CAF">
            <w:pPr>
              <w:spacing w:before="60" w:after="60"/>
              <w:jc w:val="center"/>
              <w:rPr>
                <w:sz w:val="24"/>
              </w:rPr>
            </w:pPr>
            <w:r>
              <w:rPr>
                <w:sz w:val="24"/>
              </w:rPr>
              <w:t>Strength &amp; boldness</w:t>
            </w:r>
          </w:p>
        </w:tc>
        <w:tc>
          <w:tcPr>
            <w:tcW w:w="425" w:type="dxa"/>
            <w:vAlign w:val="center"/>
          </w:tcPr>
          <w:p w:rsidR="00EB6026" w:rsidRDefault="00EB6026" w:rsidP="00536CAF">
            <w:pPr>
              <w:spacing w:before="60" w:after="60"/>
              <w:jc w:val="center"/>
              <w:rPr>
                <w:sz w:val="24"/>
              </w:rPr>
            </w:pPr>
            <w:r>
              <w:rPr>
                <w:sz w:val="24"/>
              </w:rPr>
              <w:t>+</w:t>
            </w:r>
          </w:p>
        </w:tc>
        <w:tc>
          <w:tcPr>
            <w:tcW w:w="3827" w:type="dxa"/>
            <w:vAlign w:val="center"/>
          </w:tcPr>
          <w:p w:rsidR="00EB6026" w:rsidRDefault="00EB6026" w:rsidP="00536CAF">
            <w:pPr>
              <w:spacing w:before="60" w:after="60"/>
              <w:jc w:val="center"/>
              <w:rPr>
                <w:sz w:val="24"/>
              </w:rPr>
            </w:pPr>
            <w:r>
              <w:rPr>
                <w:sz w:val="24"/>
              </w:rPr>
              <w:t>A competitive arena</w:t>
            </w:r>
          </w:p>
        </w:tc>
        <w:tc>
          <w:tcPr>
            <w:tcW w:w="413" w:type="dxa"/>
            <w:vAlign w:val="center"/>
          </w:tcPr>
          <w:p w:rsidR="00EB6026" w:rsidRDefault="00EB6026" w:rsidP="00536CAF">
            <w:pPr>
              <w:spacing w:before="60" w:after="60"/>
              <w:jc w:val="center"/>
              <w:rPr>
                <w:sz w:val="24"/>
              </w:rPr>
            </w:pPr>
            <w:r>
              <w:rPr>
                <w:sz w:val="24"/>
              </w:rPr>
              <w:t>=</w:t>
            </w:r>
          </w:p>
        </w:tc>
        <w:tc>
          <w:tcPr>
            <w:tcW w:w="1350" w:type="dxa"/>
            <w:vAlign w:val="center"/>
          </w:tcPr>
          <w:p w:rsidR="00EB6026" w:rsidRDefault="00EB6026" w:rsidP="00536CAF">
            <w:pPr>
              <w:spacing w:before="60" w:after="60"/>
              <w:jc w:val="center"/>
              <w:rPr>
                <w:sz w:val="24"/>
              </w:rPr>
            </w:pPr>
            <w:r>
              <w:rPr>
                <w:sz w:val="24"/>
              </w:rPr>
              <w:t>Authority</w:t>
            </w:r>
          </w:p>
        </w:tc>
      </w:tr>
      <w:tr w:rsidR="00EB6026" w:rsidTr="00536CAF">
        <w:trPr>
          <w:jc w:val="center"/>
        </w:trPr>
        <w:tc>
          <w:tcPr>
            <w:tcW w:w="3227" w:type="dxa"/>
            <w:vAlign w:val="center"/>
          </w:tcPr>
          <w:p w:rsidR="00EB6026" w:rsidRDefault="00EB6026" w:rsidP="00536CAF">
            <w:pPr>
              <w:spacing w:before="60" w:after="60"/>
              <w:jc w:val="center"/>
              <w:rPr>
                <w:sz w:val="24"/>
              </w:rPr>
            </w:pPr>
            <w:r>
              <w:rPr>
                <w:sz w:val="24"/>
              </w:rPr>
              <w:t>Planning &amp; calculation</w:t>
            </w:r>
          </w:p>
        </w:tc>
        <w:tc>
          <w:tcPr>
            <w:tcW w:w="425" w:type="dxa"/>
            <w:vAlign w:val="center"/>
          </w:tcPr>
          <w:p w:rsidR="00EB6026" w:rsidRDefault="00EB6026" w:rsidP="00536CAF">
            <w:pPr>
              <w:spacing w:before="60" w:after="60"/>
              <w:jc w:val="center"/>
              <w:rPr>
                <w:sz w:val="24"/>
              </w:rPr>
            </w:pPr>
            <w:r>
              <w:rPr>
                <w:sz w:val="24"/>
              </w:rPr>
              <w:t>+</w:t>
            </w:r>
          </w:p>
        </w:tc>
        <w:tc>
          <w:tcPr>
            <w:tcW w:w="3827" w:type="dxa"/>
            <w:vAlign w:val="center"/>
          </w:tcPr>
          <w:p w:rsidR="00EB6026" w:rsidRDefault="00EB6026" w:rsidP="00536CAF">
            <w:pPr>
              <w:spacing w:before="60" w:after="60"/>
              <w:jc w:val="center"/>
              <w:rPr>
                <w:sz w:val="24"/>
              </w:rPr>
            </w:pPr>
            <w:r>
              <w:rPr>
                <w:sz w:val="24"/>
              </w:rPr>
              <w:t>A meticulously planned operation</w:t>
            </w:r>
          </w:p>
        </w:tc>
        <w:tc>
          <w:tcPr>
            <w:tcW w:w="413" w:type="dxa"/>
            <w:vAlign w:val="center"/>
          </w:tcPr>
          <w:p w:rsidR="00EB6026" w:rsidRDefault="00EB6026" w:rsidP="00536CAF">
            <w:pPr>
              <w:spacing w:before="60" w:after="60"/>
              <w:jc w:val="center"/>
              <w:rPr>
                <w:sz w:val="24"/>
              </w:rPr>
            </w:pPr>
            <w:r>
              <w:rPr>
                <w:sz w:val="24"/>
              </w:rPr>
              <w:t>=</w:t>
            </w:r>
          </w:p>
        </w:tc>
        <w:tc>
          <w:tcPr>
            <w:tcW w:w="1350" w:type="dxa"/>
            <w:vAlign w:val="center"/>
          </w:tcPr>
          <w:p w:rsidR="00EB6026" w:rsidRDefault="00EB6026" w:rsidP="00536CAF">
            <w:pPr>
              <w:spacing w:before="60" w:after="60"/>
              <w:jc w:val="center"/>
              <w:rPr>
                <w:sz w:val="24"/>
              </w:rPr>
            </w:pPr>
            <w:r>
              <w:rPr>
                <w:sz w:val="24"/>
              </w:rPr>
              <w:t>Safety</w:t>
            </w:r>
          </w:p>
        </w:tc>
      </w:tr>
      <w:tr w:rsidR="00EB6026" w:rsidTr="00536CAF">
        <w:trPr>
          <w:jc w:val="center"/>
        </w:trPr>
        <w:tc>
          <w:tcPr>
            <w:tcW w:w="3227" w:type="dxa"/>
            <w:vAlign w:val="center"/>
          </w:tcPr>
          <w:p w:rsidR="00EB6026" w:rsidRDefault="00EB6026" w:rsidP="00536CAF">
            <w:pPr>
              <w:spacing w:before="60" w:after="60"/>
              <w:jc w:val="center"/>
              <w:rPr>
                <w:sz w:val="24"/>
              </w:rPr>
            </w:pPr>
            <w:r>
              <w:rPr>
                <w:sz w:val="24"/>
              </w:rPr>
              <w:t>Structure &amp; stability</w:t>
            </w:r>
          </w:p>
        </w:tc>
        <w:tc>
          <w:tcPr>
            <w:tcW w:w="425" w:type="dxa"/>
            <w:vAlign w:val="center"/>
          </w:tcPr>
          <w:p w:rsidR="00EB6026" w:rsidRDefault="00EB6026" w:rsidP="00536CAF">
            <w:pPr>
              <w:spacing w:before="60" w:after="60"/>
              <w:jc w:val="center"/>
              <w:rPr>
                <w:sz w:val="24"/>
              </w:rPr>
            </w:pPr>
            <w:r>
              <w:rPr>
                <w:sz w:val="24"/>
              </w:rPr>
              <w:t>+</w:t>
            </w:r>
          </w:p>
        </w:tc>
        <w:tc>
          <w:tcPr>
            <w:tcW w:w="3827" w:type="dxa"/>
            <w:vAlign w:val="center"/>
          </w:tcPr>
          <w:p w:rsidR="00EB6026" w:rsidRDefault="00EB6026" w:rsidP="00536CAF">
            <w:pPr>
              <w:spacing w:before="60" w:after="60"/>
              <w:jc w:val="center"/>
              <w:rPr>
                <w:sz w:val="24"/>
              </w:rPr>
            </w:pPr>
            <w:r>
              <w:rPr>
                <w:sz w:val="24"/>
              </w:rPr>
              <w:t>A smoothly running machine</w:t>
            </w:r>
          </w:p>
        </w:tc>
        <w:tc>
          <w:tcPr>
            <w:tcW w:w="413" w:type="dxa"/>
            <w:vAlign w:val="center"/>
          </w:tcPr>
          <w:p w:rsidR="00EB6026" w:rsidRDefault="00EB6026" w:rsidP="00536CAF">
            <w:pPr>
              <w:spacing w:before="60" w:after="60"/>
              <w:jc w:val="center"/>
              <w:rPr>
                <w:sz w:val="24"/>
              </w:rPr>
            </w:pPr>
            <w:r>
              <w:rPr>
                <w:sz w:val="24"/>
              </w:rPr>
              <w:t>=</w:t>
            </w:r>
          </w:p>
        </w:tc>
        <w:tc>
          <w:tcPr>
            <w:tcW w:w="1350" w:type="dxa"/>
            <w:vAlign w:val="center"/>
          </w:tcPr>
          <w:p w:rsidR="00EB6026" w:rsidRDefault="00EB6026" w:rsidP="00536CAF">
            <w:pPr>
              <w:spacing w:before="60" w:after="60"/>
              <w:jc w:val="center"/>
              <w:rPr>
                <w:sz w:val="24"/>
              </w:rPr>
            </w:pPr>
            <w:r>
              <w:rPr>
                <w:sz w:val="24"/>
              </w:rPr>
              <w:t>Order</w:t>
            </w:r>
          </w:p>
        </w:tc>
      </w:tr>
    </w:tbl>
    <w:p w:rsidR="00EB6026" w:rsidRDefault="00EB6026" w:rsidP="00EB6026">
      <w:pPr>
        <w:spacing w:before="240"/>
        <w:rPr>
          <w:sz w:val="24"/>
        </w:rPr>
      </w:pPr>
      <w:r>
        <w:rPr>
          <w:sz w:val="24"/>
        </w:rPr>
        <w:t>All 17 Hafod Board Members were invited</w:t>
      </w:r>
      <w:r w:rsidRPr="00930844">
        <w:rPr>
          <w:sz w:val="24"/>
        </w:rPr>
        <w:t xml:space="preserve"> </w:t>
      </w:r>
      <w:r>
        <w:rPr>
          <w:sz w:val="24"/>
        </w:rPr>
        <w:t xml:space="preserve">to take part, together with 121 members of staff.  The number of Board members has been reduced, from 30 in March 2018, due to the restructure of the organisation.  At the start of the 2018, there were separate Boards for Hafod Care, Hafod Housing and Hafod Resources, but these have now been replaced by a single Hafod Board.  The selection of staff invited to take part in the survey has been expanded.  In March 2018, the survey was distributed to 86 members of staff, drawn from the Operational Leadership Group, the Housing &amp; Care Change Lab Workshops, attendees at a series of change management workshops, and managers from across the organisation.  These groups of staff were chosen as they are most likely to be able to comment on the current culture of the organisation, and have a part in cascading current </w:t>
      </w:r>
      <w:r>
        <w:rPr>
          <w:sz w:val="24"/>
        </w:rPr>
        <w:lastRenderedPageBreak/>
        <w:t xml:space="preserve">developments to others.  Since the first iteration of the survey, the change lab workshops have been completed with the Caring for the Future event, the Operational Leadership Group has been disbanded, and the </w:t>
      </w:r>
      <w:proofErr w:type="spellStart"/>
      <w:r>
        <w:rPr>
          <w:sz w:val="24"/>
        </w:rPr>
        <w:t>Hendre</w:t>
      </w:r>
      <w:proofErr w:type="spellEnd"/>
      <w:r>
        <w:rPr>
          <w:sz w:val="24"/>
        </w:rPr>
        <w:t xml:space="preserve"> group structure has been collapsed.  A series of 50</w:t>
      </w:r>
      <w:r w:rsidRPr="008B4CFC">
        <w:rPr>
          <w:sz w:val="24"/>
          <w:vertAlign w:val="superscript"/>
        </w:rPr>
        <w:t>th</w:t>
      </w:r>
      <w:r>
        <w:rPr>
          <w:sz w:val="24"/>
        </w:rPr>
        <w:t xml:space="preserve"> anniversary events and a programme of internal communication </w:t>
      </w:r>
      <w:proofErr w:type="gramStart"/>
      <w:r>
        <w:rPr>
          <w:sz w:val="24"/>
        </w:rPr>
        <w:t>has</w:t>
      </w:r>
      <w:proofErr w:type="gramEnd"/>
      <w:r>
        <w:rPr>
          <w:sz w:val="24"/>
        </w:rPr>
        <w:t xml:space="preserve"> helped to widen exposure to the organisational aims of One Hafod.  The invitation list for the September 2018 reiteration of the organisational culture was expanded to include all frontline officers, including neighbourhood coaches, maintenance surveyors and care home managers and support managers.  In September 2018, a total of 6 Board members and 71 staff took part, representing a 56% return overall.  </w:t>
      </w:r>
    </w:p>
    <w:p w:rsidR="00F1768D" w:rsidRDefault="00F1768D" w:rsidP="00EB6026">
      <w:pPr>
        <w:rPr>
          <w:b/>
          <w:sz w:val="24"/>
        </w:rPr>
      </w:pPr>
    </w:p>
    <w:p w:rsidR="00EB6026" w:rsidRDefault="00EB6026" w:rsidP="00EB6026">
      <w:pPr>
        <w:rPr>
          <w:b/>
          <w:sz w:val="24"/>
        </w:rPr>
      </w:pPr>
      <w:r w:rsidRPr="00930844">
        <w:rPr>
          <w:b/>
          <w:sz w:val="24"/>
        </w:rPr>
        <w:t xml:space="preserve">Results </w:t>
      </w:r>
    </w:p>
    <w:p w:rsidR="00EB6026" w:rsidRDefault="00EB6026" w:rsidP="00EB6026">
      <w:pPr>
        <w:rPr>
          <w:sz w:val="24"/>
        </w:rPr>
      </w:pPr>
      <w:r>
        <w:rPr>
          <w:sz w:val="24"/>
        </w:rPr>
        <w:t xml:space="preserve">The results showed that Hafod has a cultural profile that leans towards the attributes of Learning, Purpose and Authority.  These three attributes, in the same order, were the top three choices in the original survey in March 2018.  Board Members ranked each attribute in a slightly different order, rating Order and Results higher than Purpose or Authority.  </w:t>
      </w:r>
    </w:p>
    <w:p w:rsidR="00EB6026" w:rsidRPr="001664B7" w:rsidRDefault="00EB6026" w:rsidP="00EB6026">
      <w:pPr>
        <w:jc w:val="center"/>
        <w:rPr>
          <w:i/>
          <w:sz w:val="24"/>
        </w:rPr>
      </w:pPr>
      <w:r w:rsidRPr="001664B7">
        <w:rPr>
          <w:i/>
          <w:sz w:val="24"/>
        </w:rPr>
        <w:t>Table 2: Top three cultural attributes</w:t>
      </w:r>
    </w:p>
    <w:tbl>
      <w:tblPr>
        <w:tblStyle w:val="TableGrid"/>
        <w:tblW w:w="0" w:type="auto"/>
        <w:tblLook w:val="04A0" w:firstRow="1" w:lastRow="0" w:firstColumn="1" w:lastColumn="0" w:noHBand="0" w:noVBand="1"/>
      </w:tblPr>
      <w:tblGrid>
        <w:gridCol w:w="2310"/>
        <w:gridCol w:w="2310"/>
        <w:gridCol w:w="2311"/>
        <w:gridCol w:w="2311"/>
      </w:tblGrid>
      <w:tr w:rsidR="00EB6026" w:rsidTr="00536CAF">
        <w:tc>
          <w:tcPr>
            <w:tcW w:w="2310" w:type="dxa"/>
            <w:tcBorders>
              <w:top w:val="nil"/>
              <w:left w:val="nil"/>
            </w:tcBorders>
          </w:tcPr>
          <w:p w:rsidR="00EB6026" w:rsidRDefault="00EB6026" w:rsidP="00536CAF">
            <w:pPr>
              <w:spacing w:before="60" w:after="60"/>
              <w:rPr>
                <w:b/>
                <w:sz w:val="24"/>
              </w:rPr>
            </w:pPr>
          </w:p>
        </w:tc>
        <w:tc>
          <w:tcPr>
            <w:tcW w:w="2310" w:type="dxa"/>
          </w:tcPr>
          <w:p w:rsidR="00EB6026" w:rsidRDefault="00EB6026" w:rsidP="00536CAF">
            <w:pPr>
              <w:spacing w:before="60" w:after="60"/>
              <w:jc w:val="center"/>
              <w:rPr>
                <w:b/>
                <w:sz w:val="24"/>
              </w:rPr>
            </w:pPr>
            <w:r>
              <w:rPr>
                <w:b/>
                <w:sz w:val="24"/>
              </w:rPr>
              <w:t>First</w:t>
            </w:r>
          </w:p>
        </w:tc>
        <w:tc>
          <w:tcPr>
            <w:tcW w:w="2311" w:type="dxa"/>
          </w:tcPr>
          <w:p w:rsidR="00EB6026" w:rsidRDefault="00EB6026" w:rsidP="00536CAF">
            <w:pPr>
              <w:spacing w:before="60" w:after="60"/>
              <w:jc w:val="center"/>
              <w:rPr>
                <w:b/>
                <w:sz w:val="24"/>
              </w:rPr>
            </w:pPr>
            <w:r>
              <w:rPr>
                <w:b/>
                <w:sz w:val="24"/>
              </w:rPr>
              <w:t>Second</w:t>
            </w:r>
          </w:p>
        </w:tc>
        <w:tc>
          <w:tcPr>
            <w:tcW w:w="2311" w:type="dxa"/>
          </w:tcPr>
          <w:p w:rsidR="00EB6026" w:rsidRDefault="00EB6026" w:rsidP="00536CAF">
            <w:pPr>
              <w:spacing w:before="60" w:after="60"/>
              <w:jc w:val="center"/>
              <w:rPr>
                <w:b/>
                <w:sz w:val="24"/>
              </w:rPr>
            </w:pPr>
            <w:r>
              <w:rPr>
                <w:b/>
                <w:sz w:val="24"/>
              </w:rPr>
              <w:t>Third</w:t>
            </w:r>
          </w:p>
        </w:tc>
      </w:tr>
      <w:tr w:rsidR="00EB6026" w:rsidTr="00536CAF">
        <w:tc>
          <w:tcPr>
            <w:tcW w:w="2310" w:type="dxa"/>
          </w:tcPr>
          <w:p w:rsidR="00EB6026" w:rsidRDefault="00EB6026" w:rsidP="00536CAF">
            <w:pPr>
              <w:spacing w:before="60" w:after="60"/>
              <w:rPr>
                <w:b/>
                <w:sz w:val="24"/>
              </w:rPr>
            </w:pPr>
            <w:r>
              <w:rPr>
                <w:b/>
                <w:sz w:val="24"/>
              </w:rPr>
              <w:t>Overall</w:t>
            </w:r>
          </w:p>
        </w:tc>
        <w:tc>
          <w:tcPr>
            <w:tcW w:w="2310" w:type="dxa"/>
          </w:tcPr>
          <w:p w:rsidR="00EB6026" w:rsidRPr="00930844" w:rsidRDefault="00EB6026" w:rsidP="00536CAF">
            <w:pPr>
              <w:spacing w:before="60" w:after="60"/>
              <w:jc w:val="center"/>
              <w:rPr>
                <w:sz w:val="24"/>
              </w:rPr>
            </w:pPr>
            <w:r w:rsidRPr="00930844">
              <w:rPr>
                <w:sz w:val="24"/>
              </w:rPr>
              <w:t>Learning</w:t>
            </w:r>
          </w:p>
        </w:tc>
        <w:tc>
          <w:tcPr>
            <w:tcW w:w="2311" w:type="dxa"/>
          </w:tcPr>
          <w:p w:rsidR="00EB6026" w:rsidRPr="00930844" w:rsidRDefault="00EB6026" w:rsidP="00536CAF">
            <w:pPr>
              <w:spacing w:before="60" w:after="60"/>
              <w:jc w:val="center"/>
              <w:rPr>
                <w:sz w:val="24"/>
              </w:rPr>
            </w:pPr>
            <w:r w:rsidRPr="00930844">
              <w:rPr>
                <w:sz w:val="24"/>
              </w:rPr>
              <w:t>Purpose</w:t>
            </w:r>
          </w:p>
        </w:tc>
        <w:tc>
          <w:tcPr>
            <w:tcW w:w="2311" w:type="dxa"/>
          </w:tcPr>
          <w:p w:rsidR="00EB6026" w:rsidRPr="00930844" w:rsidRDefault="00EB6026" w:rsidP="00536CAF">
            <w:pPr>
              <w:spacing w:before="60" w:after="60"/>
              <w:jc w:val="center"/>
              <w:rPr>
                <w:sz w:val="24"/>
              </w:rPr>
            </w:pPr>
            <w:r w:rsidRPr="00930844">
              <w:rPr>
                <w:sz w:val="24"/>
              </w:rPr>
              <w:t>Authority</w:t>
            </w:r>
          </w:p>
        </w:tc>
      </w:tr>
      <w:tr w:rsidR="00EB6026" w:rsidTr="00536CAF">
        <w:tc>
          <w:tcPr>
            <w:tcW w:w="2310" w:type="dxa"/>
          </w:tcPr>
          <w:p w:rsidR="00EB6026" w:rsidRDefault="00EB6026" w:rsidP="00536CAF">
            <w:pPr>
              <w:spacing w:before="60" w:after="60"/>
              <w:rPr>
                <w:b/>
                <w:sz w:val="24"/>
              </w:rPr>
            </w:pPr>
            <w:r>
              <w:rPr>
                <w:b/>
                <w:sz w:val="24"/>
              </w:rPr>
              <w:t>Board</w:t>
            </w:r>
          </w:p>
        </w:tc>
        <w:tc>
          <w:tcPr>
            <w:tcW w:w="2310" w:type="dxa"/>
          </w:tcPr>
          <w:p w:rsidR="00EB6026" w:rsidRPr="00930844" w:rsidRDefault="00EB6026" w:rsidP="00536CAF">
            <w:pPr>
              <w:spacing w:before="60" w:after="60"/>
              <w:jc w:val="center"/>
              <w:rPr>
                <w:sz w:val="24"/>
              </w:rPr>
            </w:pPr>
            <w:r w:rsidRPr="00930844">
              <w:rPr>
                <w:sz w:val="24"/>
              </w:rPr>
              <w:t xml:space="preserve">Learning </w:t>
            </w:r>
          </w:p>
        </w:tc>
        <w:tc>
          <w:tcPr>
            <w:tcW w:w="2311" w:type="dxa"/>
          </w:tcPr>
          <w:p w:rsidR="00EB6026" w:rsidRPr="00930844" w:rsidRDefault="00EB6026" w:rsidP="00536CAF">
            <w:pPr>
              <w:spacing w:before="60" w:after="60"/>
              <w:jc w:val="center"/>
              <w:rPr>
                <w:sz w:val="24"/>
              </w:rPr>
            </w:pPr>
            <w:r w:rsidRPr="00930844">
              <w:rPr>
                <w:sz w:val="24"/>
              </w:rPr>
              <w:t>Order</w:t>
            </w:r>
          </w:p>
        </w:tc>
        <w:tc>
          <w:tcPr>
            <w:tcW w:w="2311" w:type="dxa"/>
          </w:tcPr>
          <w:p w:rsidR="00EB6026" w:rsidRPr="00930844" w:rsidRDefault="00EB6026" w:rsidP="00536CAF">
            <w:pPr>
              <w:spacing w:before="60" w:after="60"/>
              <w:jc w:val="center"/>
              <w:rPr>
                <w:sz w:val="24"/>
              </w:rPr>
            </w:pPr>
            <w:r>
              <w:rPr>
                <w:sz w:val="24"/>
              </w:rPr>
              <w:t>Results</w:t>
            </w:r>
          </w:p>
        </w:tc>
      </w:tr>
      <w:tr w:rsidR="00EB6026" w:rsidTr="00536CAF">
        <w:tc>
          <w:tcPr>
            <w:tcW w:w="2310" w:type="dxa"/>
          </w:tcPr>
          <w:p w:rsidR="00EB6026" w:rsidRDefault="00EB6026" w:rsidP="00536CAF">
            <w:pPr>
              <w:spacing w:before="60" w:after="60"/>
              <w:rPr>
                <w:b/>
                <w:sz w:val="24"/>
              </w:rPr>
            </w:pPr>
            <w:r>
              <w:rPr>
                <w:b/>
                <w:sz w:val="24"/>
              </w:rPr>
              <w:t>Staff</w:t>
            </w:r>
          </w:p>
        </w:tc>
        <w:tc>
          <w:tcPr>
            <w:tcW w:w="2310" w:type="dxa"/>
          </w:tcPr>
          <w:p w:rsidR="00EB6026" w:rsidRPr="00930844" w:rsidRDefault="00EB6026" w:rsidP="00536CAF">
            <w:pPr>
              <w:spacing w:before="60" w:after="60"/>
              <w:jc w:val="center"/>
              <w:rPr>
                <w:sz w:val="24"/>
              </w:rPr>
            </w:pPr>
            <w:r w:rsidRPr="00930844">
              <w:rPr>
                <w:sz w:val="24"/>
              </w:rPr>
              <w:t>Learning</w:t>
            </w:r>
          </w:p>
        </w:tc>
        <w:tc>
          <w:tcPr>
            <w:tcW w:w="2311" w:type="dxa"/>
          </w:tcPr>
          <w:p w:rsidR="00EB6026" w:rsidRPr="00930844" w:rsidRDefault="00EB6026" w:rsidP="00536CAF">
            <w:pPr>
              <w:spacing w:before="60" w:after="60"/>
              <w:jc w:val="center"/>
              <w:rPr>
                <w:sz w:val="24"/>
              </w:rPr>
            </w:pPr>
            <w:r w:rsidRPr="00930844">
              <w:rPr>
                <w:sz w:val="24"/>
              </w:rPr>
              <w:t xml:space="preserve">Purpose </w:t>
            </w:r>
          </w:p>
        </w:tc>
        <w:tc>
          <w:tcPr>
            <w:tcW w:w="2311" w:type="dxa"/>
          </w:tcPr>
          <w:p w:rsidR="00EB6026" w:rsidRPr="00930844" w:rsidRDefault="00EB6026" w:rsidP="00536CAF">
            <w:pPr>
              <w:spacing w:before="60" w:after="60"/>
              <w:jc w:val="center"/>
              <w:rPr>
                <w:sz w:val="24"/>
              </w:rPr>
            </w:pPr>
            <w:r w:rsidRPr="00930844">
              <w:rPr>
                <w:sz w:val="24"/>
              </w:rPr>
              <w:t>Authority</w:t>
            </w:r>
          </w:p>
        </w:tc>
      </w:tr>
    </w:tbl>
    <w:p w:rsidR="00EB6026" w:rsidRDefault="00EB6026" w:rsidP="00EB6026">
      <w:pPr>
        <w:rPr>
          <w:b/>
          <w:sz w:val="24"/>
        </w:rPr>
      </w:pPr>
    </w:p>
    <w:p w:rsidR="00EB6026" w:rsidRDefault="00EB6026" w:rsidP="00EB6026">
      <w:pPr>
        <w:rPr>
          <w:sz w:val="24"/>
        </w:rPr>
      </w:pPr>
      <w:r>
        <w:rPr>
          <w:sz w:val="24"/>
        </w:rPr>
        <w:t xml:space="preserve">Board Members gave a higher score than staff to all eight cultural attributes, although the difference was only statistically significant (p &lt; .05) for Order, Safety and Results.  Of these, the difference was largest for Order, which Board Members felt was the second-most important cultural attribute.  These differences between Board and staff results are identical to the March 2018 survey.  </w:t>
      </w:r>
    </w:p>
    <w:p w:rsidR="00216243" w:rsidRDefault="00216243" w:rsidP="00EB6026">
      <w:pPr>
        <w:rPr>
          <w:sz w:val="24"/>
        </w:rPr>
      </w:pPr>
      <w:r>
        <w:rPr>
          <w:sz w:val="24"/>
        </w:rPr>
        <w:t xml:space="preserve">Six of the eight cultural attributes were given higher overall average scores in September </w:t>
      </w:r>
      <w:proofErr w:type="gramStart"/>
      <w:r>
        <w:rPr>
          <w:sz w:val="24"/>
        </w:rPr>
        <w:t>2018,</w:t>
      </w:r>
      <w:proofErr w:type="gramEnd"/>
      <w:r>
        <w:rPr>
          <w:sz w:val="24"/>
        </w:rPr>
        <w:t xml:space="preserve"> than they were given in the March survey, with only Safety and Order receiving lower scores.  However, the only statistically significant difference between the two surveys was for Caring, which increased from 6.1 in March to 6.5 in September.  </w:t>
      </w:r>
    </w:p>
    <w:p w:rsidR="00216243" w:rsidRDefault="00216243" w:rsidP="00216243">
      <w:pPr>
        <w:jc w:val="center"/>
        <w:rPr>
          <w:sz w:val="24"/>
        </w:rPr>
      </w:pPr>
    </w:p>
    <w:p w:rsidR="00EB6026" w:rsidRDefault="00216243" w:rsidP="00216243">
      <w:pPr>
        <w:jc w:val="center"/>
        <w:rPr>
          <w:sz w:val="24"/>
        </w:rPr>
      </w:pPr>
      <w:r>
        <w:rPr>
          <w:noProof/>
          <w:lang w:eastAsia="en-GB"/>
        </w:rPr>
        <w:lastRenderedPageBreak/>
        <w:drawing>
          <wp:inline distT="0" distB="0" distL="0" distR="0" wp14:anchorId="27C5BC5C" wp14:editId="61369831">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16243" w:rsidRDefault="00216243" w:rsidP="00216243">
      <w:pPr>
        <w:jc w:val="center"/>
        <w:rPr>
          <w:sz w:val="24"/>
        </w:rPr>
      </w:pPr>
      <w:r>
        <w:rPr>
          <w:noProof/>
          <w:lang w:eastAsia="en-GB"/>
        </w:rPr>
        <w:drawing>
          <wp:inline distT="0" distB="0" distL="0" distR="0" wp14:anchorId="4BC93AA3" wp14:editId="56A3C361">
            <wp:extent cx="4572000" cy="2443163"/>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8733A" w:rsidRDefault="00C8733A"/>
    <w:p w:rsidR="00216243" w:rsidRDefault="00216243" w:rsidP="00216243">
      <w:pPr>
        <w:jc w:val="center"/>
      </w:pPr>
      <w:r>
        <w:rPr>
          <w:noProof/>
          <w:lang w:eastAsia="en-GB"/>
        </w:rPr>
        <w:drawing>
          <wp:inline distT="0" distB="0" distL="0" distR="0" wp14:anchorId="3019B82C" wp14:editId="65BB4A45">
            <wp:extent cx="5731510" cy="2583180"/>
            <wp:effectExtent l="0" t="0" r="2540" b="762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1768D" w:rsidRDefault="00F1768D">
      <w:pPr>
        <w:rPr>
          <w:b/>
          <w:sz w:val="24"/>
        </w:rPr>
      </w:pPr>
      <w:r>
        <w:rPr>
          <w:b/>
          <w:sz w:val="24"/>
        </w:rPr>
        <w:br w:type="page"/>
      </w:r>
    </w:p>
    <w:p w:rsidR="00216243" w:rsidRPr="00D96709" w:rsidRDefault="000B563E" w:rsidP="00216243">
      <w:pPr>
        <w:rPr>
          <w:b/>
          <w:sz w:val="24"/>
        </w:rPr>
      </w:pPr>
      <w:r w:rsidRPr="00D96709">
        <w:rPr>
          <w:b/>
          <w:sz w:val="24"/>
        </w:rPr>
        <w:lastRenderedPageBreak/>
        <w:t xml:space="preserve">Discussion </w:t>
      </w:r>
    </w:p>
    <w:p w:rsidR="000B563E" w:rsidRDefault="000B563E" w:rsidP="00216243">
      <w:pPr>
        <w:rPr>
          <w:sz w:val="24"/>
        </w:rPr>
      </w:pPr>
      <w:r w:rsidRPr="000B563E">
        <w:rPr>
          <w:sz w:val="24"/>
        </w:rPr>
        <w:t xml:space="preserve">Board members and staff continue to agree that Hafod is focused on Learning and Purpose.  </w:t>
      </w:r>
      <w:proofErr w:type="spellStart"/>
      <w:r w:rsidRPr="009C553E">
        <w:rPr>
          <w:sz w:val="24"/>
        </w:rPr>
        <w:t>Groysberg</w:t>
      </w:r>
      <w:proofErr w:type="spellEnd"/>
      <w:r w:rsidRPr="000B563E">
        <w:rPr>
          <w:i/>
          <w:sz w:val="24"/>
        </w:rPr>
        <w:t xml:space="preserve"> et al</w:t>
      </w:r>
      <w:r>
        <w:rPr>
          <w:sz w:val="24"/>
        </w:rPr>
        <w:t xml:space="preserve"> consider these values to be held by organisations that </w:t>
      </w:r>
      <w:r w:rsidRPr="000B563E">
        <w:rPr>
          <w:sz w:val="24"/>
        </w:rPr>
        <w:t>emphasise flexibility, adaptability and receptiveness to change</w:t>
      </w:r>
      <w:r>
        <w:rPr>
          <w:sz w:val="24"/>
        </w:rPr>
        <w:t xml:space="preserve">, which would seem appropriate for an organisation undergoing a change journey such as </w:t>
      </w:r>
      <w:proofErr w:type="spellStart"/>
      <w:r>
        <w:rPr>
          <w:sz w:val="24"/>
        </w:rPr>
        <w:t>Hafod’s</w:t>
      </w:r>
      <w:proofErr w:type="spellEnd"/>
      <w:r>
        <w:rPr>
          <w:sz w:val="24"/>
        </w:rPr>
        <w:t xml:space="preserve">.  They also note that convergence between staff and Board ratings indicate more stable organisational cultures.  </w:t>
      </w:r>
    </w:p>
    <w:p w:rsidR="000B563E" w:rsidRDefault="000B563E" w:rsidP="00216243">
      <w:pPr>
        <w:rPr>
          <w:sz w:val="24"/>
        </w:rPr>
      </w:pPr>
      <w:r>
        <w:rPr>
          <w:sz w:val="24"/>
        </w:rPr>
        <w:t>Since the first survey was carried out in March</w:t>
      </w:r>
      <w:r w:rsidR="00D96709">
        <w:rPr>
          <w:sz w:val="24"/>
        </w:rPr>
        <w:t>,</w:t>
      </w:r>
      <w:r>
        <w:rPr>
          <w:sz w:val="24"/>
        </w:rPr>
        <w:t xml:space="preserve"> the collapse of the </w:t>
      </w:r>
      <w:proofErr w:type="spellStart"/>
      <w:r>
        <w:rPr>
          <w:sz w:val="24"/>
        </w:rPr>
        <w:t>Hendre</w:t>
      </w:r>
      <w:proofErr w:type="spellEnd"/>
      <w:r>
        <w:rPr>
          <w:sz w:val="24"/>
        </w:rPr>
        <w:t xml:space="preserve"> group structure and reformation of a single Hafod board, with new Board members, has potentially contributed to high Purpose scores.  </w:t>
      </w:r>
      <w:r w:rsidR="00D96709">
        <w:rPr>
          <w:sz w:val="24"/>
        </w:rPr>
        <w:t xml:space="preserve">The high ratings for Learning may have been influenced by the relaunched PDR process, which took place over the summer, and the redesign of the e-learning system, which culminated in the launch of a new Learning Management System whilst this survey was underway.  The increase in Caring scores may have been influenced by a growing understanding of the links between housing, care and support services, and their impact on customer well-being, as the three services begin to work more closely than ever before.  </w:t>
      </w:r>
    </w:p>
    <w:p w:rsidR="00F1768D" w:rsidRDefault="00F1768D" w:rsidP="00F1768D">
      <w:pPr>
        <w:rPr>
          <w:sz w:val="24"/>
        </w:rPr>
      </w:pPr>
      <w:proofErr w:type="spellStart"/>
      <w:r>
        <w:rPr>
          <w:sz w:val="24"/>
        </w:rPr>
        <w:t>Groysberg</w:t>
      </w:r>
      <w:proofErr w:type="spellEnd"/>
      <w:r>
        <w:rPr>
          <w:sz w:val="24"/>
        </w:rPr>
        <w:t xml:space="preserve"> </w:t>
      </w:r>
      <w:r w:rsidRPr="001664B7">
        <w:rPr>
          <w:i/>
          <w:sz w:val="24"/>
        </w:rPr>
        <w:t>et al</w:t>
      </w:r>
      <w:r>
        <w:rPr>
          <w:sz w:val="24"/>
        </w:rPr>
        <w:t xml:space="preserve"> </w:t>
      </w:r>
      <w:r>
        <w:rPr>
          <w:sz w:val="24"/>
        </w:rPr>
        <w:t xml:space="preserve">ascribe both </w:t>
      </w:r>
      <w:r>
        <w:rPr>
          <w:sz w:val="24"/>
        </w:rPr>
        <w:t xml:space="preserve">advantages and disadvantages </w:t>
      </w:r>
      <w:r>
        <w:rPr>
          <w:sz w:val="24"/>
        </w:rPr>
        <w:t xml:space="preserve">to each of the eight attributes, </w:t>
      </w:r>
      <w:r>
        <w:rPr>
          <w:sz w:val="24"/>
        </w:rPr>
        <w:t xml:space="preserve">when featured strongly in an organisation’s culture, </w:t>
      </w:r>
      <w:r>
        <w:rPr>
          <w:sz w:val="24"/>
        </w:rPr>
        <w:t>and these are</w:t>
      </w:r>
      <w:r>
        <w:rPr>
          <w:sz w:val="24"/>
        </w:rPr>
        <w:t xml:space="preserve"> outlined in Table 3 overleaf.  The </w:t>
      </w:r>
      <w:r>
        <w:rPr>
          <w:sz w:val="24"/>
        </w:rPr>
        <w:t xml:space="preserve">continued </w:t>
      </w:r>
      <w:r>
        <w:rPr>
          <w:sz w:val="24"/>
        </w:rPr>
        <w:t xml:space="preserve">high figures for Learning and Purpose suggest a culture with an appreciation for innovation and social responsibility, but </w:t>
      </w:r>
      <w:proofErr w:type="spellStart"/>
      <w:r>
        <w:rPr>
          <w:sz w:val="24"/>
        </w:rPr>
        <w:t>Groysberg</w:t>
      </w:r>
      <w:proofErr w:type="spellEnd"/>
      <w:r>
        <w:rPr>
          <w:sz w:val="24"/>
        </w:rPr>
        <w:t xml:space="preserve"> </w:t>
      </w:r>
      <w:r w:rsidRPr="003160BD">
        <w:rPr>
          <w:i/>
          <w:sz w:val="24"/>
        </w:rPr>
        <w:t>et al</w:t>
      </w:r>
      <w:r>
        <w:rPr>
          <w:sz w:val="24"/>
        </w:rPr>
        <w:t xml:space="preserve"> warn that practical concerns and existing advantages may be missed by an overemphasis on exploration and long-term goals.  It is possible that this may be balanced by the </w:t>
      </w:r>
      <w:r>
        <w:rPr>
          <w:sz w:val="24"/>
        </w:rPr>
        <w:t>comparatively high scores for</w:t>
      </w:r>
      <w:r>
        <w:rPr>
          <w:sz w:val="24"/>
        </w:rPr>
        <w:t xml:space="preserve"> Authority, which ha</w:t>
      </w:r>
      <w:r>
        <w:rPr>
          <w:sz w:val="24"/>
        </w:rPr>
        <w:t>s</w:t>
      </w:r>
      <w:r>
        <w:rPr>
          <w:sz w:val="24"/>
        </w:rPr>
        <w:t xml:space="preserve"> broadly complementary advantages and disadvantages.  </w:t>
      </w:r>
      <w:r>
        <w:rPr>
          <w:sz w:val="24"/>
        </w:rPr>
        <w:t xml:space="preserve">The slight fall in scores for Order, however, may be an early warning sign of potential conflict and inefficiency in an organisation in the process of linking previously separate services.  </w:t>
      </w:r>
    </w:p>
    <w:p w:rsidR="00F1768D" w:rsidRDefault="00F1768D" w:rsidP="00F1768D">
      <w:pPr>
        <w:rPr>
          <w:sz w:val="24"/>
        </w:rPr>
      </w:pPr>
      <w:r>
        <w:rPr>
          <w:sz w:val="24"/>
        </w:rPr>
        <w:t>Th</w:t>
      </w:r>
      <w:r>
        <w:rPr>
          <w:sz w:val="24"/>
        </w:rPr>
        <w:t>e attribute given the lowest figures by both Board Members and staff was Enjoyment</w:t>
      </w:r>
      <w:r>
        <w:rPr>
          <w:sz w:val="24"/>
        </w:rPr>
        <w:t>, as was the case in the first survey</w:t>
      </w:r>
      <w:r>
        <w:rPr>
          <w:sz w:val="24"/>
        </w:rPr>
        <w:t xml:space="preserve">.  This suggests that the organisation may be missing out on the advantages associated with this trait – high employee morale, engagement and creativity.  </w:t>
      </w:r>
    </w:p>
    <w:p w:rsidR="00D96709" w:rsidRDefault="00D96709" w:rsidP="00216243">
      <w:pPr>
        <w:rPr>
          <w:sz w:val="24"/>
        </w:rPr>
      </w:pPr>
    </w:p>
    <w:p w:rsidR="00F1768D" w:rsidRDefault="00F1768D">
      <w:pPr>
        <w:rPr>
          <w:i/>
          <w:sz w:val="24"/>
        </w:rPr>
      </w:pPr>
      <w:r>
        <w:rPr>
          <w:i/>
          <w:sz w:val="24"/>
        </w:rPr>
        <w:br w:type="page"/>
      </w:r>
    </w:p>
    <w:p w:rsidR="00F1768D" w:rsidRPr="001664B7" w:rsidRDefault="00F1768D" w:rsidP="00F1768D">
      <w:pPr>
        <w:jc w:val="center"/>
        <w:rPr>
          <w:i/>
          <w:sz w:val="24"/>
        </w:rPr>
      </w:pPr>
      <w:r w:rsidRPr="001664B7">
        <w:rPr>
          <w:i/>
          <w:sz w:val="24"/>
        </w:rPr>
        <w:lastRenderedPageBreak/>
        <w:t>Table 3: Advantages &amp; disadvantages</w:t>
      </w:r>
    </w:p>
    <w:tbl>
      <w:tblPr>
        <w:tblStyle w:val="TableGrid"/>
        <w:tblW w:w="0" w:type="auto"/>
        <w:tblLook w:val="04A0" w:firstRow="1" w:lastRow="0" w:firstColumn="1" w:lastColumn="0" w:noHBand="0" w:noVBand="1"/>
      </w:tblPr>
      <w:tblGrid>
        <w:gridCol w:w="2235"/>
        <w:gridCol w:w="3118"/>
        <w:gridCol w:w="3889"/>
      </w:tblGrid>
      <w:tr w:rsidR="00F1768D" w:rsidRPr="001664B7" w:rsidTr="003300B8">
        <w:trPr>
          <w:cantSplit/>
          <w:tblHeader/>
        </w:trPr>
        <w:tc>
          <w:tcPr>
            <w:tcW w:w="2235" w:type="dxa"/>
            <w:shd w:val="clear" w:color="auto" w:fill="000000" w:themeFill="text1"/>
          </w:tcPr>
          <w:p w:rsidR="00F1768D" w:rsidRPr="001664B7" w:rsidRDefault="00F1768D" w:rsidP="003300B8">
            <w:pPr>
              <w:spacing w:before="60" w:after="60"/>
              <w:jc w:val="center"/>
              <w:rPr>
                <w:b/>
                <w:sz w:val="24"/>
              </w:rPr>
            </w:pPr>
            <w:r w:rsidRPr="001664B7">
              <w:rPr>
                <w:b/>
                <w:sz w:val="24"/>
              </w:rPr>
              <w:t>CULTURE STYLE</w:t>
            </w:r>
          </w:p>
        </w:tc>
        <w:tc>
          <w:tcPr>
            <w:tcW w:w="3118" w:type="dxa"/>
            <w:shd w:val="clear" w:color="auto" w:fill="000000" w:themeFill="text1"/>
          </w:tcPr>
          <w:p w:rsidR="00F1768D" w:rsidRPr="001664B7" w:rsidRDefault="00F1768D" w:rsidP="003300B8">
            <w:pPr>
              <w:spacing w:before="60" w:after="60"/>
              <w:jc w:val="center"/>
              <w:rPr>
                <w:b/>
                <w:sz w:val="24"/>
              </w:rPr>
            </w:pPr>
            <w:r w:rsidRPr="001664B7">
              <w:rPr>
                <w:b/>
                <w:sz w:val="24"/>
              </w:rPr>
              <w:t>ADVANTAGES</w:t>
            </w:r>
          </w:p>
        </w:tc>
        <w:tc>
          <w:tcPr>
            <w:tcW w:w="3889" w:type="dxa"/>
            <w:shd w:val="clear" w:color="auto" w:fill="000000" w:themeFill="text1"/>
          </w:tcPr>
          <w:p w:rsidR="00F1768D" w:rsidRPr="001664B7" w:rsidRDefault="00F1768D" w:rsidP="003300B8">
            <w:pPr>
              <w:spacing w:before="60" w:after="60"/>
              <w:jc w:val="center"/>
              <w:rPr>
                <w:b/>
                <w:sz w:val="24"/>
              </w:rPr>
            </w:pPr>
            <w:r w:rsidRPr="001664B7">
              <w:rPr>
                <w:b/>
                <w:sz w:val="24"/>
              </w:rPr>
              <w:t>DISADVANTAGES</w:t>
            </w:r>
          </w:p>
        </w:tc>
      </w:tr>
      <w:tr w:rsidR="00F1768D" w:rsidRPr="001664B7" w:rsidTr="003300B8">
        <w:trPr>
          <w:cantSplit/>
        </w:trPr>
        <w:tc>
          <w:tcPr>
            <w:tcW w:w="2235" w:type="dxa"/>
          </w:tcPr>
          <w:p w:rsidR="00F1768D" w:rsidRPr="001664B7" w:rsidRDefault="00F1768D" w:rsidP="003300B8">
            <w:pPr>
              <w:spacing w:before="60" w:after="60"/>
              <w:jc w:val="center"/>
              <w:rPr>
                <w:b/>
                <w:sz w:val="24"/>
              </w:rPr>
            </w:pPr>
            <w:r w:rsidRPr="001664B7">
              <w:rPr>
                <w:b/>
                <w:sz w:val="24"/>
              </w:rPr>
              <w:t>Caring</w:t>
            </w:r>
          </w:p>
          <w:p w:rsidR="00F1768D" w:rsidRPr="001664B7" w:rsidRDefault="00F1768D" w:rsidP="003300B8">
            <w:pPr>
              <w:spacing w:before="60" w:after="60"/>
              <w:jc w:val="center"/>
              <w:rPr>
                <w:sz w:val="20"/>
              </w:rPr>
            </w:pPr>
            <w:r w:rsidRPr="001664B7">
              <w:rPr>
                <w:sz w:val="20"/>
              </w:rPr>
              <w:t>Warm, sincere, relational</w:t>
            </w:r>
          </w:p>
        </w:tc>
        <w:tc>
          <w:tcPr>
            <w:tcW w:w="3118" w:type="dxa"/>
          </w:tcPr>
          <w:p w:rsidR="00F1768D" w:rsidRPr="001664B7" w:rsidRDefault="00F1768D" w:rsidP="003300B8">
            <w:pPr>
              <w:spacing w:before="60" w:after="60"/>
              <w:rPr>
                <w:sz w:val="20"/>
              </w:rPr>
            </w:pPr>
            <w:r w:rsidRPr="001664B7">
              <w:rPr>
                <w:sz w:val="20"/>
              </w:rPr>
              <w:t>Improved teamwork, engagement, communication, trust, and sense of belonging</w:t>
            </w:r>
          </w:p>
        </w:tc>
        <w:tc>
          <w:tcPr>
            <w:tcW w:w="3889" w:type="dxa"/>
          </w:tcPr>
          <w:p w:rsidR="00F1768D" w:rsidRPr="001664B7" w:rsidRDefault="00F1768D" w:rsidP="003300B8">
            <w:pPr>
              <w:spacing w:before="60" w:after="60"/>
              <w:rPr>
                <w:sz w:val="20"/>
              </w:rPr>
            </w:pPr>
            <w:r w:rsidRPr="001664B7">
              <w:rPr>
                <w:sz w:val="20"/>
              </w:rPr>
              <w:t>Overemphasis on consensus building may reduce exploration of options, stifle competitiveness, and slow decision making</w:t>
            </w:r>
          </w:p>
        </w:tc>
      </w:tr>
      <w:tr w:rsidR="00F1768D" w:rsidRPr="001664B7" w:rsidTr="003300B8">
        <w:trPr>
          <w:cantSplit/>
        </w:trPr>
        <w:tc>
          <w:tcPr>
            <w:tcW w:w="2235" w:type="dxa"/>
          </w:tcPr>
          <w:p w:rsidR="00F1768D" w:rsidRPr="001664B7" w:rsidRDefault="00F1768D" w:rsidP="003300B8">
            <w:pPr>
              <w:spacing w:before="60" w:after="60"/>
              <w:jc w:val="center"/>
              <w:rPr>
                <w:b/>
                <w:sz w:val="24"/>
              </w:rPr>
            </w:pPr>
            <w:r w:rsidRPr="001664B7">
              <w:rPr>
                <w:b/>
                <w:sz w:val="24"/>
              </w:rPr>
              <w:t>Purpose</w:t>
            </w:r>
          </w:p>
          <w:p w:rsidR="00F1768D" w:rsidRPr="001664B7" w:rsidRDefault="00F1768D" w:rsidP="003300B8">
            <w:pPr>
              <w:spacing w:before="60" w:after="60"/>
              <w:jc w:val="center"/>
              <w:rPr>
                <w:sz w:val="20"/>
              </w:rPr>
            </w:pPr>
            <w:r w:rsidRPr="001664B7">
              <w:rPr>
                <w:sz w:val="20"/>
              </w:rPr>
              <w:t>Purpose driven, idealistic, tolerant</w:t>
            </w:r>
          </w:p>
        </w:tc>
        <w:tc>
          <w:tcPr>
            <w:tcW w:w="3118" w:type="dxa"/>
          </w:tcPr>
          <w:p w:rsidR="00F1768D" w:rsidRPr="001664B7" w:rsidRDefault="00F1768D" w:rsidP="003300B8">
            <w:pPr>
              <w:spacing w:before="60" w:after="60"/>
              <w:rPr>
                <w:sz w:val="20"/>
              </w:rPr>
            </w:pPr>
            <w:r w:rsidRPr="001664B7">
              <w:rPr>
                <w:sz w:val="20"/>
              </w:rPr>
              <w:t>Improved appreciation for diversity, sustainability, and social responsibility</w:t>
            </w:r>
          </w:p>
        </w:tc>
        <w:tc>
          <w:tcPr>
            <w:tcW w:w="3889" w:type="dxa"/>
          </w:tcPr>
          <w:p w:rsidR="00F1768D" w:rsidRPr="001664B7" w:rsidRDefault="00F1768D" w:rsidP="003300B8">
            <w:pPr>
              <w:spacing w:before="60" w:after="60"/>
              <w:rPr>
                <w:sz w:val="20"/>
              </w:rPr>
            </w:pPr>
            <w:r w:rsidRPr="001664B7">
              <w:rPr>
                <w:sz w:val="20"/>
              </w:rPr>
              <w:t>Overemphasis on a long-term purpose and ideals may get in the way of practical and immediate concerns</w:t>
            </w:r>
          </w:p>
        </w:tc>
      </w:tr>
      <w:tr w:rsidR="00F1768D" w:rsidRPr="001664B7" w:rsidTr="003300B8">
        <w:trPr>
          <w:cantSplit/>
        </w:trPr>
        <w:tc>
          <w:tcPr>
            <w:tcW w:w="2235" w:type="dxa"/>
          </w:tcPr>
          <w:p w:rsidR="00F1768D" w:rsidRPr="001664B7" w:rsidRDefault="00F1768D" w:rsidP="003300B8">
            <w:pPr>
              <w:spacing w:before="60" w:after="60"/>
              <w:jc w:val="center"/>
              <w:rPr>
                <w:b/>
                <w:sz w:val="24"/>
              </w:rPr>
            </w:pPr>
            <w:r w:rsidRPr="001664B7">
              <w:rPr>
                <w:b/>
                <w:sz w:val="24"/>
              </w:rPr>
              <w:t>Learning</w:t>
            </w:r>
          </w:p>
          <w:p w:rsidR="00F1768D" w:rsidRPr="001664B7" w:rsidRDefault="00F1768D" w:rsidP="003300B8">
            <w:pPr>
              <w:spacing w:before="60" w:after="60"/>
              <w:jc w:val="center"/>
              <w:rPr>
                <w:sz w:val="20"/>
              </w:rPr>
            </w:pPr>
            <w:r w:rsidRPr="001664B7">
              <w:rPr>
                <w:sz w:val="20"/>
              </w:rPr>
              <w:t>Open, innovative, exploring</w:t>
            </w:r>
          </w:p>
        </w:tc>
        <w:tc>
          <w:tcPr>
            <w:tcW w:w="3118" w:type="dxa"/>
          </w:tcPr>
          <w:p w:rsidR="00F1768D" w:rsidRPr="001664B7" w:rsidRDefault="00F1768D" w:rsidP="003300B8">
            <w:pPr>
              <w:spacing w:before="60" w:after="60"/>
              <w:rPr>
                <w:sz w:val="20"/>
              </w:rPr>
            </w:pPr>
            <w:r w:rsidRPr="001664B7">
              <w:rPr>
                <w:sz w:val="20"/>
              </w:rPr>
              <w:t>Improved innovation, agility, and organisational learning</w:t>
            </w:r>
          </w:p>
        </w:tc>
        <w:tc>
          <w:tcPr>
            <w:tcW w:w="3889" w:type="dxa"/>
          </w:tcPr>
          <w:p w:rsidR="00F1768D" w:rsidRPr="001664B7" w:rsidRDefault="00F1768D" w:rsidP="003300B8">
            <w:pPr>
              <w:spacing w:before="60" w:after="60"/>
              <w:rPr>
                <w:sz w:val="20"/>
              </w:rPr>
            </w:pPr>
            <w:r w:rsidRPr="001664B7">
              <w:rPr>
                <w:sz w:val="20"/>
              </w:rPr>
              <w:t>Overemphasis on exploration may lead to a lack of focus and an inability to exploit existing advantages</w:t>
            </w:r>
          </w:p>
        </w:tc>
      </w:tr>
      <w:tr w:rsidR="00F1768D" w:rsidRPr="001664B7" w:rsidTr="003300B8">
        <w:trPr>
          <w:cantSplit/>
        </w:trPr>
        <w:tc>
          <w:tcPr>
            <w:tcW w:w="2235" w:type="dxa"/>
          </w:tcPr>
          <w:p w:rsidR="00F1768D" w:rsidRPr="001664B7" w:rsidRDefault="00F1768D" w:rsidP="003300B8">
            <w:pPr>
              <w:spacing w:before="60" w:after="60"/>
              <w:jc w:val="center"/>
              <w:rPr>
                <w:b/>
                <w:sz w:val="24"/>
              </w:rPr>
            </w:pPr>
            <w:r w:rsidRPr="001664B7">
              <w:rPr>
                <w:b/>
                <w:sz w:val="24"/>
              </w:rPr>
              <w:t>Enjoyment</w:t>
            </w:r>
          </w:p>
          <w:p w:rsidR="00F1768D" w:rsidRPr="001664B7" w:rsidRDefault="00F1768D" w:rsidP="003300B8">
            <w:pPr>
              <w:spacing w:before="60" w:after="60"/>
              <w:jc w:val="center"/>
              <w:rPr>
                <w:sz w:val="20"/>
              </w:rPr>
            </w:pPr>
            <w:r w:rsidRPr="001664B7">
              <w:rPr>
                <w:sz w:val="20"/>
              </w:rPr>
              <w:t>Playful, instinctive, fun loving</w:t>
            </w:r>
          </w:p>
        </w:tc>
        <w:tc>
          <w:tcPr>
            <w:tcW w:w="3118" w:type="dxa"/>
          </w:tcPr>
          <w:p w:rsidR="00F1768D" w:rsidRPr="001664B7" w:rsidRDefault="00F1768D" w:rsidP="003300B8">
            <w:pPr>
              <w:spacing w:before="60" w:after="60"/>
              <w:rPr>
                <w:sz w:val="20"/>
              </w:rPr>
            </w:pPr>
            <w:r w:rsidRPr="001664B7">
              <w:rPr>
                <w:sz w:val="20"/>
              </w:rPr>
              <w:t>Improved employee morale, engagement and creativity</w:t>
            </w:r>
          </w:p>
        </w:tc>
        <w:tc>
          <w:tcPr>
            <w:tcW w:w="3889" w:type="dxa"/>
          </w:tcPr>
          <w:p w:rsidR="00F1768D" w:rsidRPr="001664B7" w:rsidRDefault="00F1768D" w:rsidP="003300B8">
            <w:pPr>
              <w:spacing w:before="60" w:after="60"/>
              <w:rPr>
                <w:sz w:val="20"/>
              </w:rPr>
            </w:pPr>
            <w:r w:rsidRPr="001664B7">
              <w:rPr>
                <w:sz w:val="20"/>
              </w:rPr>
              <w:t>Overemphasis on autonomy and engagement may lead to a lack of discipline and create possible compliance or governance issues</w:t>
            </w:r>
          </w:p>
        </w:tc>
      </w:tr>
      <w:tr w:rsidR="00F1768D" w:rsidRPr="001664B7" w:rsidTr="003300B8">
        <w:trPr>
          <w:cantSplit/>
        </w:trPr>
        <w:tc>
          <w:tcPr>
            <w:tcW w:w="2235" w:type="dxa"/>
          </w:tcPr>
          <w:p w:rsidR="00F1768D" w:rsidRPr="001664B7" w:rsidRDefault="00F1768D" w:rsidP="003300B8">
            <w:pPr>
              <w:spacing w:before="60" w:after="60"/>
              <w:jc w:val="center"/>
              <w:rPr>
                <w:b/>
                <w:sz w:val="24"/>
              </w:rPr>
            </w:pPr>
            <w:r w:rsidRPr="001664B7">
              <w:rPr>
                <w:b/>
                <w:sz w:val="24"/>
              </w:rPr>
              <w:t>Results</w:t>
            </w:r>
          </w:p>
          <w:p w:rsidR="00F1768D" w:rsidRPr="001664B7" w:rsidRDefault="00F1768D" w:rsidP="003300B8">
            <w:pPr>
              <w:spacing w:before="60" w:after="60"/>
              <w:jc w:val="center"/>
              <w:rPr>
                <w:sz w:val="20"/>
              </w:rPr>
            </w:pPr>
            <w:r w:rsidRPr="001664B7">
              <w:rPr>
                <w:sz w:val="20"/>
              </w:rPr>
              <w:t>Achievement driven, goal focussed</w:t>
            </w:r>
          </w:p>
        </w:tc>
        <w:tc>
          <w:tcPr>
            <w:tcW w:w="3118" w:type="dxa"/>
          </w:tcPr>
          <w:p w:rsidR="00F1768D" w:rsidRPr="001664B7" w:rsidRDefault="00F1768D" w:rsidP="003300B8">
            <w:pPr>
              <w:spacing w:before="60" w:after="60"/>
              <w:rPr>
                <w:sz w:val="20"/>
              </w:rPr>
            </w:pPr>
            <w:r w:rsidRPr="001664B7">
              <w:rPr>
                <w:sz w:val="20"/>
              </w:rPr>
              <w:t>Improved execution, external focus, capability building, and goal achievement</w:t>
            </w:r>
          </w:p>
        </w:tc>
        <w:tc>
          <w:tcPr>
            <w:tcW w:w="3889" w:type="dxa"/>
          </w:tcPr>
          <w:p w:rsidR="00F1768D" w:rsidRPr="001664B7" w:rsidRDefault="00F1768D" w:rsidP="003300B8">
            <w:pPr>
              <w:spacing w:before="60" w:after="60"/>
              <w:rPr>
                <w:sz w:val="20"/>
              </w:rPr>
            </w:pPr>
            <w:r w:rsidRPr="001664B7">
              <w:rPr>
                <w:sz w:val="20"/>
              </w:rPr>
              <w:t>Overemphasis on achieving results may lead to communication and collaboration breakdowns and higher levels of stress and anxiety</w:t>
            </w:r>
          </w:p>
        </w:tc>
      </w:tr>
      <w:tr w:rsidR="00F1768D" w:rsidRPr="001664B7" w:rsidTr="003300B8">
        <w:trPr>
          <w:cantSplit/>
        </w:trPr>
        <w:tc>
          <w:tcPr>
            <w:tcW w:w="2235" w:type="dxa"/>
          </w:tcPr>
          <w:p w:rsidR="00F1768D" w:rsidRPr="001664B7" w:rsidRDefault="00F1768D" w:rsidP="003300B8">
            <w:pPr>
              <w:spacing w:before="60" w:after="60"/>
              <w:jc w:val="center"/>
              <w:rPr>
                <w:b/>
                <w:sz w:val="24"/>
              </w:rPr>
            </w:pPr>
            <w:r w:rsidRPr="001664B7">
              <w:rPr>
                <w:b/>
                <w:sz w:val="24"/>
              </w:rPr>
              <w:t>Authority</w:t>
            </w:r>
          </w:p>
          <w:p w:rsidR="00F1768D" w:rsidRPr="001664B7" w:rsidRDefault="00F1768D" w:rsidP="003300B8">
            <w:pPr>
              <w:spacing w:before="60" w:after="60"/>
              <w:jc w:val="center"/>
              <w:rPr>
                <w:sz w:val="20"/>
              </w:rPr>
            </w:pPr>
            <w:r w:rsidRPr="001664B7">
              <w:rPr>
                <w:sz w:val="20"/>
              </w:rPr>
              <w:t>Bold, decisive, dominant</w:t>
            </w:r>
          </w:p>
        </w:tc>
        <w:tc>
          <w:tcPr>
            <w:tcW w:w="3118" w:type="dxa"/>
          </w:tcPr>
          <w:p w:rsidR="00F1768D" w:rsidRPr="001664B7" w:rsidRDefault="00F1768D" w:rsidP="003300B8">
            <w:pPr>
              <w:spacing w:before="60" w:after="60"/>
              <w:rPr>
                <w:sz w:val="20"/>
              </w:rPr>
            </w:pPr>
            <w:r w:rsidRPr="001664B7">
              <w:rPr>
                <w:sz w:val="20"/>
              </w:rPr>
              <w:t>Improved speed of decision making and responsiveness to threats or crises</w:t>
            </w:r>
          </w:p>
        </w:tc>
        <w:tc>
          <w:tcPr>
            <w:tcW w:w="3889" w:type="dxa"/>
          </w:tcPr>
          <w:p w:rsidR="00F1768D" w:rsidRPr="001664B7" w:rsidRDefault="00F1768D" w:rsidP="003300B8">
            <w:pPr>
              <w:spacing w:before="60" w:after="60"/>
              <w:rPr>
                <w:sz w:val="20"/>
              </w:rPr>
            </w:pPr>
            <w:r w:rsidRPr="001664B7">
              <w:rPr>
                <w:sz w:val="20"/>
              </w:rPr>
              <w:t>Overemphasis on strong authority and bold decision making may lead to politics, conflict, and a psychologically unsafe work environment</w:t>
            </w:r>
          </w:p>
        </w:tc>
      </w:tr>
      <w:tr w:rsidR="00F1768D" w:rsidRPr="001664B7" w:rsidTr="003300B8">
        <w:trPr>
          <w:cantSplit/>
        </w:trPr>
        <w:tc>
          <w:tcPr>
            <w:tcW w:w="2235" w:type="dxa"/>
          </w:tcPr>
          <w:p w:rsidR="00F1768D" w:rsidRPr="001664B7" w:rsidRDefault="00F1768D" w:rsidP="003300B8">
            <w:pPr>
              <w:spacing w:before="60" w:after="60"/>
              <w:jc w:val="center"/>
              <w:rPr>
                <w:b/>
                <w:sz w:val="24"/>
              </w:rPr>
            </w:pPr>
            <w:r w:rsidRPr="001664B7">
              <w:rPr>
                <w:b/>
                <w:sz w:val="24"/>
              </w:rPr>
              <w:t>Safety</w:t>
            </w:r>
          </w:p>
          <w:p w:rsidR="00F1768D" w:rsidRPr="001664B7" w:rsidRDefault="00F1768D" w:rsidP="003300B8">
            <w:pPr>
              <w:spacing w:before="60" w:after="60"/>
              <w:jc w:val="center"/>
              <w:rPr>
                <w:sz w:val="20"/>
              </w:rPr>
            </w:pPr>
            <w:r w:rsidRPr="001664B7">
              <w:rPr>
                <w:sz w:val="20"/>
              </w:rPr>
              <w:t>Realistic, careful, prepared</w:t>
            </w:r>
          </w:p>
        </w:tc>
        <w:tc>
          <w:tcPr>
            <w:tcW w:w="3118" w:type="dxa"/>
          </w:tcPr>
          <w:p w:rsidR="00F1768D" w:rsidRPr="001664B7" w:rsidRDefault="00F1768D" w:rsidP="003300B8">
            <w:pPr>
              <w:spacing w:before="60" w:after="60"/>
              <w:rPr>
                <w:sz w:val="20"/>
              </w:rPr>
            </w:pPr>
            <w:r w:rsidRPr="001664B7">
              <w:rPr>
                <w:sz w:val="20"/>
              </w:rPr>
              <w:t>Improved risk management, stability, and business continuity</w:t>
            </w:r>
          </w:p>
        </w:tc>
        <w:tc>
          <w:tcPr>
            <w:tcW w:w="3889" w:type="dxa"/>
          </w:tcPr>
          <w:p w:rsidR="00F1768D" w:rsidRPr="001664B7" w:rsidRDefault="00F1768D" w:rsidP="003300B8">
            <w:pPr>
              <w:spacing w:before="60" w:after="60"/>
              <w:rPr>
                <w:sz w:val="20"/>
              </w:rPr>
            </w:pPr>
            <w:r w:rsidRPr="001664B7">
              <w:rPr>
                <w:sz w:val="20"/>
              </w:rPr>
              <w:t>Overemphasis on standardisation and formalisation may lead to bureaucracy, inflexibility, and dehumanisation of the work environment</w:t>
            </w:r>
          </w:p>
        </w:tc>
      </w:tr>
      <w:tr w:rsidR="00F1768D" w:rsidRPr="001664B7" w:rsidTr="003300B8">
        <w:trPr>
          <w:cantSplit/>
        </w:trPr>
        <w:tc>
          <w:tcPr>
            <w:tcW w:w="2235" w:type="dxa"/>
          </w:tcPr>
          <w:p w:rsidR="00F1768D" w:rsidRPr="003160BD" w:rsidRDefault="00F1768D" w:rsidP="003300B8">
            <w:pPr>
              <w:spacing w:before="60" w:after="60"/>
              <w:jc w:val="center"/>
              <w:rPr>
                <w:b/>
                <w:sz w:val="24"/>
              </w:rPr>
            </w:pPr>
            <w:r w:rsidRPr="003160BD">
              <w:rPr>
                <w:b/>
                <w:sz w:val="24"/>
              </w:rPr>
              <w:t>Order</w:t>
            </w:r>
          </w:p>
          <w:p w:rsidR="00F1768D" w:rsidRPr="001664B7" w:rsidRDefault="00F1768D" w:rsidP="003300B8">
            <w:pPr>
              <w:spacing w:before="60" w:after="60"/>
              <w:jc w:val="center"/>
              <w:rPr>
                <w:sz w:val="20"/>
              </w:rPr>
            </w:pPr>
            <w:r w:rsidRPr="001664B7">
              <w:rPr>
                <w:sz w:val="20"/>
              </w:rPr>
              <w:t>Rule abiding, respectful, cooperative</w:t>
            </w:r>
          </w:p>
        </w:tc>
        <w:tc>
          <w:tcPr>
            <w:tcW w:w="3118" w:type="dxa"/>
          </w:tcPr>
          <w:p w:rsidR="00F1768D" w:rsidRPr="001664B7" w:rsidRDefault="00F1768D" w:rsidP="003300B8">
            <w:pPr>
              <w:spacing w:before="60" w:after="60"/>
              <w:rPr>
                <w:sz w:val="20"/>
              </w:rPr>
            </w:pPr>
            <w:r w:rsidRPr="001664B7">
              <w:rPr>
                <w:sz w:val="20"/>
              </w:rPr>
              <w:t>Improved operational efficiency, reduced conflict, and greater civic-mindedness</w:t>
            </w:r>
          </w:p>
        </w:tc>
        <w:tc>
          <w:tcPr>
            <w:tcW w:w="3889" w:type="dxa"/>
          </w:tcPr>
          <w:p w:rsidR="00F1768D" w:rsidRPr="001664B7" w:rsidRDefault="00F1768D" w:rsidP="003300B8">
            <w:pPr>
              <w:spacing w:before="60" w:after="60"/>
              <w:rPr>
                <w:sz w:val="20"/>
              </w:rPr>
            </w:pPr>
            <w:r w:rsidRPr="001664B7">
              <w:rPr>
                <w:sz w:val="20"/>
              </w:rPr>
              <w:t>Overemphasis on rules and traditions may reduce individualism, stifle creativity, and limit organisational agility</w:t>
            </w:r>
          </w:p>
        </w:tc>
      </w:tr>
    </w:tbl>
    <w:p w:rsidR="00F1768D" w:rsidRDefault="00F1768D" w:rsidP="00F1768D">
      <w:pPr>
        <w:spacing w:before="240"/>
        <w:rPr>
          <w:b/>
          <w:sz w:val="24"/>
        </w:rPr>
      </w:pPr>
    </w:p>
    <w:p w:rsidR="00F1768D" w:rsidRPr="003160BD" w:rsidRDefault="00F1768D" w:rsidP="00F1768D">
      <w:pPr>
        <w:spacing w:before="240"/>
        <w:rPr>
          <w:b/>
          <w:sz w:val="24"/>
        </w:rPr>
      </w:pPr>
      <w:r w:rsidRPr="003160BD">
        <w:rPr>
          <w:b/>
          <w:sz w:val="24"/>
        </w:rPr>
        <w:t>Conclusions</w:t>
      </w:r>
    </w:p>
    <w:p w:rsidR="00D96709" w:rsidRDefault="00F1768D" w:rsidP="00216243">
      <w:pPr>
        <w:rPr>
          <w:sz w:val="24"/>
        </w:rPr>
      </w:pPr>
      <w:r>
        <w:rPr>
          <w:sz w:val="24"/>
        </w:rPr>
        <w:t xml:space="preserve">This second iteration of the </w:t>
      </w:r>
      <w:r>
        <w:rPr>
          <w:sz w:val="24"/>
        </w:rPr>
        <w:t>organisational cultural profile survey suggest</w:t>
      </w:r>
      <w:r>
        <w:rPr>
          <w:sz w:val="24"/>
        </w:rPr>
        <w:t>s</w:t>
      </w:r>
      <w:r>
        <w:rPr>
          <w:sz w:val="24"/>
        </w:rPr>
        <w:t xml:space="preserve"> that Hafod </w:t>
      </w:r>
      <w:r>
        <w:rPr>
          <w:sz w:val="24"/>
        </w:rPr>
        <w:t>continues to be</w:t>
      </w:r>
      <w:r>
        <w:rPr>
          <w:sz w:val="24"/>
        </w:rPr>
        <w:t xml:space="preserve"> focused on Purpose and Learning, with Authority</w:t>
      </w:r>
      <w:r>
        <w:rPr>
          <w:sz w:val="24"/>
        </w:rPr>
        <w:t xml:space="preserve">, </w:t>
      </w:r>
      <w:r>
        <w:rPr>
          <w:sz w:val="24"/>
        </w:rPr>
        <w:t xml:space="preserve">Order </w:t>
      </w:r>
      <w:r>
        <w:rPr>
          <w:sz w:val="24"/>
        </w:rPr>
        <w:t xml:space="preserve">and Results </w:t>
      </w:r>
      <w:r>
        <w:rPr>
          <w:sz w:val="24"/>
        </w:rPr>
        <w:t xml:space="preserve">being lesser, but important elements.  Board and staff perspectives are </w:t>
      </w:r>
      <w:r>
        <w:rPr>
          <w:sz w:val="24"/>
        </w:rPr>
        <w:t>still similar</w:t>
      </w:r>
      <w:r>
        <w:rPr>
          <w:sz w:val="24"/>
        </w:rPr>
        <w:t xml:space="preserve">, and both groups thought Enjoyment was the attribute least representative of </w:t>
      </w:r>
      <w:proofErr w:type="spellStart"/>
      <w:r>
        <w:rPr>
          <w:sz w:val="24"/>
        </w:rPr>
        <w:t>Hafod’s</w:t>
      </w:r>
      <w:proofErr w:type="spellEnd"/>
      <w:r>
        <w:rPr>
          <w:sz w:val="24"/>
        </w:rPr>
        <w:t xml:space="preserve"> culture.  The</w:t>
      </w:r>
      <w:r>
        <w:rPr>
          <w:sz w:val="24"/>
        </w:rPr>
        <w:t>se</w:t>
      </w:r>
      <w:r>
        <w:rPr>
          <w:sz w:val="24"/>
        </w:rPr>
        <w:t xml:space="preserve"> results </w:t>
      </w:r>
      <w:r>
        <w:rPr>
          <w:sz w:val="24"/>
        </w:rPr>
        <w:t xml:space="preserve">are </w:t>
      </w:r>
      <w:r>
        <w:rPr>
          <w:sz w:val="24"/>
        </w:rPr>
        <w:t xml:space="preserve">a snapshot of opinions at a </w:t>
      </w:r>
      <w:r>
        <w:rPr>
          <w:sz w:val="24"/>
        </w:rPr>
        <w:t xml:space="preserve">single point in </w:t>
      </w:r>
      <w:proofErr w:type="spellStart"/>
      <w:r>
        <w:rPr>
          <w:sz w:val="24"/>
        </w:rPr>
        <w:t>Hafod’s</w:t>
      </w:r>
      <w:proofErr w:type="spellEnd"/>
      <w:r>
        <w:rPr>
          <w:sz w:val="24"/>
        </w:rPr>
        <w:t xml:space="preserve"> change journey, </w:t>
      </w:r>
      <w:r>
        <w:rPr>
          <w:sz w:val="24"/>
        </w:rPr>
        <w:t xml:space="preserve">and </w:t>
      </w:r>
      <w:r>
        <w:rPr>
          <w:sz w:val="24"/>
        </w:rPr>
        <w:t xml:space="preserve">they </w:t>
      </w:r>
      <w:r>
        <w:rPr>
          <w:sz w:val="24"/>
        </w:rPr>
        <w:t xml:space="preserve">highlight </w:t>
      </w:r>
      <w:r>
        <w:rPr>
          <w:sz w:val="24"/>
        </w:rPr>
        <w:t xml:space="preserve">some potential </w:t>
      </w:r>
      <w:r>
        <w:rPr>
          <w:sz w:val="24"/>
        </w:rPr>
        <w:t xml:space="preserve">advantages and disadvantages of focusing on different attributes.  It would be worthwhile repeating the survey at later points in the change journey, to capture any shift in organisational culture.  </w:t>
      </w:r>
    </w:p>
    <w:sectPr w:rsidR="00D967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026" w:rsidRDefault="00EB6026" w:rsidP="00EB6026">
      <w:pPr>
        <w:spacing w:after="0" w:line="240" w:lineRule="auto"/>
      </w:pPr>
      <w:r>
        <w:separator/>
      </w:r>
    </w:p>
  </w:endnote>
  <w:endnote w:type="continuationSeparator" w:id="0">
    <w:p w:rsidR="00EB6026" w:rsidRDefault="00EB6026" w:rsidP="00EB6026">
      <w:pPr>
        <w:spacing w:after="0" w:line="240" w:lineRule="auto"/>
      </w:pPr>
      <w:r>
        <w:continuationSeparator/>
      </w:r>
    </w:p>
  </w:endnote>
  <w:endnote w:id="1">
    <w:p w:rsidR="00EB6026" w:rsidRDefault="00EB6026" w:rsidP="00EB6026">
      <w:pPr>
        <w:pStyle w:val="EndnoteText"/>
      </w:pPr>
      <w:r>
        <w:rPr>
          <w:rStyle w:val="EndnoteReference"/>
        </w:rPr>
        <w:endnoteRef/>
      </w:r>
      <w:r>
        <w:t xml:space="preserve"> </w:t>
      </w:r>
      <w:proofErr w:type="spellStart"/>
      <w:r>
        <w:t>Groysberg</w:t>
      </w:r>
      <w:proofErr w:type="spellEnd"/>
      <w:r>
        <w:t xml:space="preserve">, Boris, J Lee, J Price, J </w:t>
      </w:r>
      <w:proofErr w:type="spellStart"/>
      <w:r>
        <w:t>Yo</w:t>
      </w:r>
      <w:proofErr w:type="spellEnd"/>
      <w:r>
        <w:t>-Jud Cheng, Harvard Business Review, Jan-Feb 2018, 44-57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026" w:rsidRDefault="00EB6026" w:rsidP="00EB6026">
      <w:pPr>
        <w:spacing w:after="0" w:line="240" w:lineRule="auto"/>
      </w:pPr>
      <w:r>
        <w:separator/>
      </w:r>
    </w:p>
  </w:footnote>
  <w:footnote w:type="continuationSeparator" w:id="0">
    <w:p w:rsidR="00EB6026" w:rsidRDefault="00EB6026" w:rsidP="00EB60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95E"/>
    <w:rsid w:val="000B563E"/>
    <w:rsid w:val="00216243"/>
    <w:rsid w:val="0099795E"/>
    <w:rsid w:val="009C553E"/>
    <w:rsid w:val="00C8733A"/>
    <w:rsid w:val="00D96709"/>
    <w:rsid w:val="00EB6026"/>
    <w:rsid w:val="00F17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0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EB60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6026"/>
    <w:rPr>
      <w:sz w:val="20"/>
      <w:szCs w:val="20"/>
    </w:rPr>
  </w:style>
  <w:style w:type="character" w:styleId="EndnoteReference">
    <w:name w:val="endnote reference"/>
    <w:basedOn w:val="DefaultParagraphFont"/>
    <w:uiPriority w:val="99"/>
    <w:semiHidden/>
    <w:unhideWhenUsed/>
    <w:rsid w:val="00EB6026"/>
    <w:rPr>
      <w:vertAlign w:val="superscript"/>
    </w:rPr>
  </w:style>
  <w:style w:type="table" w:styleId="TableGrid">
    <w:name w:val="Table Grid"/>
    <w:basedOn w:val="TableNormal"/>
    <w:uiPriority w:val="59"/>
    <w:rsid w:val="00EB6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6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2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0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EB60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6026"/>
    <w:rPr>
      <w:sz w:val="20"/>
      <w:szCs w:val="20"/>
    </w:rPr>
  </w:style>
  <w:style w:type="character" w:styleId="EndnoteReference">
    <w:name w:val="endnote reference"/>
    <w:basedOn w:val="DefaultParagraphFont"/>
    <w:uiPriority w:val="99"/>
    <w:semiHidden/>
    <w:unhideWhenUsed/>
    <w:rsid w:val="00EB6026"/>
    <w:rPr>
      <w:vertAlign w:val="superscript"/>
    </w:rPr>
  </w:style>
  <w:style w:type="table" w:styleId="TableGrid">
    <w:name w:val="Table Grid"/>
    <w:basedOn w:val="TableNormal"/>
    <w:uiPriority w:val="59"/>
    <w:rsid w:val="00EB6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62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2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a:t>Hafod's Organisation Culture Profile</a:t>
            </a:r>
          </a:p>
          <a:p>
            <a:pPr>
              <a:defRPr/>
            </a:pPr>
            <a:r>
              <a:rPr lang="en-GB" sz="1400"/>
              <a:t>September 2018</a:t>
            </a:r>
          </a:p>
        </c:rich>
      </c:tx>
      <c:layout/>
      <c:overlay val="0"/>
    </c:title>
    <c:autoTitleDeleted val="0"/>
    <c:plotArea>
      <c:layout/>
      <c:barChart>
        <c:barDir val="col"/>
        <c:grouping val="clustered"/>
        <c:varyColors val="0"/>
        <c:ser>
          <c:idx val="0"/>
          <c:order val="0"/>
          <c:tx>
            <c:strRef>
              <c:f>Totals!$B$1</c:f>
              <c:strCache>
                <c:ptCount val="1"/>
                <c:pt idx="0">
                  <c:v>Board</c:v>
                </c:pt>
              </c:strCache>
            </c:strRef>
          </c:tx>
          <c:spPr>
            <a:solidFill>
              <a:schemeClr val="accent1">
                <a:lumMod val="60000"/>
                <a:lumOff val="40000"/>
              </a:schemeClr>
            </a:solidFill>
          </c:spPr>
          <c:invertIfNegative val="0"/>
          <c:cat>
            <c:strRef>
              <c:f>Totals!$A$2:$A$5</c:f>
              <c:strCache>
                <c:ptCount val="4"/>
                <c:pt idx="0">
                  <c:v>Caring</c:v>
                </c:pt>
                <c:pt idx="1">
                  <c:v>Purpose</c:v>
                </c:pt>
                <c:pt idx="2">
                  <c:v>Learning</c:v>
                </c:pt>
                <c:pt idx="3">
                  <c:v>Enjoyment</c:v>
                </c:pt>
              </c:strCache>
            </c:strRef>
          </c:cat>
          <c:val>
            <c:numRef>
              <c:f>Totals!$B$2:$B$5</c:f>
              <c:numCache>
                <c:formatCode>0.0</c:formatCode>
                <c:ptCount val="4"/>
                <c:pt idx="0">
                  <c:v>7.166666666666667</c:v>
                </c:pt>
                <c:pt idx="1">
                  <c:v>6.833333333333333</c:v>
                </c:pt>
                <c:pt idx="2">
                  <c:v>7.833333333333333</c:v>
                </c:pt>
                <c:pt idx="3">
                  <c:v>6.333333333333333</c:v>
                </c:pt>
              </c:numCache>
            </c:numRef>
          </c:val>
        </c:ser>
        <c:ser>
          <c:idx val="1"/>
          <c:order val="1"/>
          <c:tx>
            <c:strRef>
              <c:f>Totals!$C$1</c:f>
              <c:strCache>
                <c:ptCount val="1"/>
                <c:pt idx="0">
                  <c:v>Staff</c:v>
                </c:pt>
              </c:strCache>
            </c:strRef>
          </c:tx>
          <c:spPr>
            <a:solidFill>
              <a:schemeClr val="accent2">
                <a:lumMod val="60000"/>
                <a:lumOff val="40000"/>
              </a:schemeClr>
            </a:solidFill>
          </c:spPr>
          <c:invertIfNegative val="0"/>
          <c:cat>
            <c:strRef>
              <c:f>Totals!$A$2:$A$5</c:f>
              <c:strCache>
                <c:ptCount val="4"/>
                <c:pt idx="0">
                  <c:v>Caring</c:v>
                </c:pt>
                <c:pt idx="1">
                  <c:v>Purpose</c:v>
                </c:pt>
                <c:pt idx="2">
                  <c:v>Learning</c:v>
                </c:pt>
                <c:pt idx="3">
                  <c:v>Enjoyment</c:v>
                </c:pt>
              </c:strCache>
            </c:strRef>
          </c:cat>
          <c:val>
            <c:numRef>
              <c:f>Totals!$C$2:$C$5</c:f>
              <c:numCache>
                <c:formatCode>0.0</c:formatCode>
                <c:ptCount val="4"/>
                <c:pt idx="0">
                  <c:v>6.492957746478873</c:v>
                </c:pt>
                <c:pt idx="1">
                  <c:v>6.802816901408451</c:v>
                </c:pt>
                <c:pt idx="2">
                  <c:v>7.169014084507042</c:v>
                </c:pt>
                <c:pt idx="3">
                  <c:v>5.3661971830985919</c:v>
                </c:pt>
              </c:numCache>
            </c:numRef>
          </c:val>
        </c:ser>
        <c:ser>
          <c:idx val="2"/>
          <c:order val="2"/>
          <c:tx>
            <c:strRef>
              <c:f>Totals!$D$1</c:f>
              <c:strCache>
                <c:ptCount val="1"/>
                <c:pt idx="0">
                  <c:v>Overall</c:v>
                </c:pt>
              </c:strCache>
            </c:strRef>
          </c:tx>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Totals!$A$2:$A$5</c:f>
              <c:strCache>
                <c:ptCount val="4"/>
                <c:pt idx="0">
                  <c:v>Caring</c:v>
                </c:pt>
                <c:pt idx="1">
                  <c:v>Purpose</c:v>
                </c:pt>
                <c:pt idx="2">
                  <c:v>Learning</c:v>
                </c:pt>
                <c:pt idx="3">
                  <c:v>Enjoyment</c:v>
                </c:pt>
              </c:strCache>
            </c:strRef>
          </c:cat>
          <c:val>
            <c:numRef>
              <c:f>Totals!$D$2:$D$5</c:f>
              <c:numCache>
                <c:formatCode>0.0</c:formatCode>
                <c:ptCount val="4"/>
                <c:pt idx="0">
                  <c:v>6.5454545454545459</c:v>
                </c:pt>
                <c:pt idx="1">
                  <c:v>6.8051948051948052</c:v>
                </c:pt>
                <c:pt idx="2">
                  <c:v>7.220779220779221</c:v>
                </c:pt>
                <c:pt idx="3">
                  <c:v>5.4415584415584419</c:v>
                </c:pt>
              </c:numCache>
            </c:numRef>
          </c:val>
        </c:ser>
        <c:dLbls>
          <c:dLblPos val="outEnd"/>
          <c:showLegendKey val="0"/>
          <c:showVal val="1"/>
          <c:showCatName val="0"/>
          <c:showSerName val="0"/>
          <c:showPercent val="0"/>
          <c:showBubbleSize val="0"/>
        </c:dLbls>
        <c:gapWidth val="40"/>
        <c:axId val="39182336"/>
        <c:axId val="118760576"/>
      </c:barChart>
      <c:catAx>
        <c:axId val="39182336"/>
        <c:scaling>
          <c:orientation val="minMax"/>
        </c:scaling>
        <c:delete val="0"/>
        <c:axPos val="b"/>
        <c:majorTickMark val="out"/>
        <c:minorTickMark val="none"/>
        <c:tickLblPos val="nextTo"/>
        <c:crossAx val="118760576"/>
        <c:crosses val="autoZero"/>
        <c:auto val="1"/>
        <c:lblAlgn val="ctr"/>
        <c:lblOffset val="100"/>
        <c:noMultiLvlLbl val="0"/>
      </c:catAx>
      <c:valAx>
        <c:axId val="118760576"/>
        <c:scaling>
          <c:orientation val="minMax"/>
          <c:max val="10"/>
          <c:min val="0"/>
        </c:scaling>
        <c:delete val="0"/>
        <c:axPos val="l"/>
        <c:majorGridlines/>
        <c:numFmt formatCode="0" sourceLinked="0"/>
        <c:majorTickMark val="out"/>
        <c:minorTickMark val="none"/>
        <c:tickLblPos val="nextTo"/>
        <c:crossAx val="39182336"/>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Totals!$B$1</c:f>
              <c:strCache>
                <c:ptCount val="1"/>
                <c:pt idx="0">
                  <c:v>Board</c:v>
                </c:pt>
              </c:strCache>
            </c:strRef>
          </c:tx>
          <c:spPr>
            <a:solidFill>
              <a:schemeClr val="accent1">
                <a:lumMod val="60000"/>
                <a:lumOff val="40000"/>
              </a:schemeClr>
            </a:solidFill>
          </c:spPr>
          <c:invertIfNegative val="0"/>
          <c:cat>
            <c:strRef>
              <c:f>Totals!$A$6:$A$9</c:f>
              <c:strCache>
                <c:ptCount val="4"/>
                <c:pt idx="0">
                  <c:v>Results</c:v>
                </c:pt>
                <c:pt idx="1">
                  <c:v>Authority</c:v>
                </c:pt>
                <c:pt idx="2">
                  <c:v>Safety</c:v>
                </c:pt>
                <c:pt idx="3">
                  <c:v>Order</c:v>
                </c:pt>
              </c:strCache>
            </c:strRef>
          </c:cat>
          <c:val>
            <c:numRef>
              <c:f>Totals!$B$6:$B$9</c:f>
              <c:numCache>
                <c:formatCode>0.0</c:formatCode>
                <c:ptCount val="4"/>
                <c:pt idx="0">
                  <c:v>7.666666666666667</c:v>
                </c:pt>
                <c:pt idx="1">
                  <c:v>7.166666666666667</c:v>
                </c:pt>
                <c:pt idx="2">
                  <c:v>7.333333333333333</c:v>
                </c:pt>
                <c:pt idx="3">
                  <c:v>7.833333333333333</c:v>
                </c:pt>
              </c:numCache>
            </c:numRef>
          </c:val>
        </c:ser>
        <c:ser>
          <c:idx val="1"/>
          <c:order val="1"/>
          <c:tx>
            <c:strRef>
              <c:f>Totals!$C$1</c:f>
              <c:strCache>
                <c:ptCount val="1"/>
                <c:pt idx="0">
                  <c:v>Staff</c:v>
                </c:pt>
              </c:strCache>
            </c:strRef>
          </c:tx>
          <c:spPr>
            <a:solidFill>
              <a:schemeClr val="accent2">
                <a:lumMod val="60000"/>
                <a:lumOff val="40000"/>
              </a:schemeClr>
            </a:solidFill>
          </c:spPr>
          <c:invertIfNegative val="0"/>
          <c:cat>
            <c:strRef>
              <c:f>Totals!$A$6:$A$9</c:f>
              <c:strCache>
                <c:ptCount val="4"/>
                <c:pt idx="0">
                  <c:v>Results</c:v>
                </c:pt>
                <c:pt idx="1">
                  <c:v>Authority</c:v>
                </c:pt>
                <c:pt idx="2">
                  <c:v>Safety</c:v>
                </c:pt>
                <c:pt idx="3">
                  <c:v>Order</c:v>
                </c:pt>
              </c:strCache>
            </c:strRef>
          </c:cat>
          <c:val>
            <c:numRef>
              <c:f>Totals!$C$6:$C$9</c:f>
              <c:numCache>
                <c:formatCode>0.0</c:formatCode>
                <c:ptCount val="4"/>
                <c:pt idx="0">
                  <c:v>6.549295774647887</c:v>
                </c:pt>
                <c:pt idx="1">
                  <c:v>6.774647887323944</c:v>
                </c:pt>
                <c:pt idx="2">
                  <c:v>5.971830985915493</c:v>
                </c:pt>
                <c:pt idx="3">
                  <c:v>5.619718309859155</c:v>
                </c:pt>
              </c:numCache>
            </c:numRef>
          </c:val>
        </c:ser>
        <c:ser>
          <c:idx val="2"/>
          <c:order val="2"/>
          <c:tx>
            <c:strRef>
              <c:f>Totals!$D$1</c:f>
              <c:strCache>
                <c:ptCount val="1"/>
                <c:pt idx="0">
                  <c:v>Overall</c:v>
                </c:pt>
              </c:strCache>
            </c:strRef>
          </c:tx>
          <c:invertIfNegative val="0"/>
          <c:dLbls>
            <c:txPr>
              <a:bodyPr/>
              <a:lstStyle/>
              <a:p>
                <a:pPr>
                  <a:defRPr b="1"/>
                </a:pPr>
                <a:endParaRPr lang="en-US"/>
              </a:p>
            </c:txPr>
            <c:dLblPos val="outEnd"/>
            <c:showLegendKey val="0"/>
            <c:showVal val="1"/>
            <c:showCatName val="0"/>
            <c:showSerName val="0"/>
            <c:showPercent val="0"/>
            <c:showBubbleSize val="0"/>
            <c:showLeaderLines val="0"/>
          </c:dLbls>
          <c:cat>
            <c:strRef>
              <c:f>Totals!$A$6:$A$9</c:f>
              <c:strCache>
                <c:ptCount val="4"/>
                <c:pt idx="0">
                  <c:v>Results</c:v>
                </c:pt>
                <c:pt idx="1">
                  <c:v>Authority</c:v>
                </c:pt>
                <c:pt idx="2">
                  <c:v>Safety</c:v>
                </c:pt>
                <c:pt idx="3">
                  <c:v>Order</c:v>
                </c:pt>
              </c:strCache>
            </c:strRef>
          </c:cat>
          <c:val>
            <c:numRef>
              <c:f>Totals!$D$6:$D$9</c:f>
              <c:numCache>
                <c:formatCode>0.0</c:formatCode>
                <c:ptCount val="4"/>
                <c:pt idx="0">
                  <c:v>6.6363636363636367</c:v>
                </c:pt>
                <c:pt idx="1">
                  <c:v>6.8051948051948052</c:v>
                </c:pt>
                <c:pt idx="2">
                  <c:v>6.0779220779220777</c:v>
                </c:pt>
                <c:pt idx="3">
                  <c:v>5.7922077922077921</c:v>
                </c:pt>
              </c:numCache>
            </c:numRef>
          </c:val>
        </c:ser>
        <c:dLbls>
          <c:dLblPos val="outEnd"/>
          <c:showLegendKey val="0"/>
          <c:showVal val="1"/>
          <c:showCatName val="0"/>
          <c:showSerName val="0"/>
          <c:showPercent val="0"/>
          <c:showBubbleSize val="0"/>
        </c:dLbls>
        <c:gapWidth val="40"/>
        <c:axId val="118919552"/>
        <c:axId val="118924800"/>
      </c:barChart>
      <c:catAx>
        <c:axId val="118919552"/>
        <c:scaling>
          <c:orientation val="minMax"/>
        </c:scaling>
        <c:delete val="0"/>
        <c:axPos val="b"/>
        <c:majorTickMark val="out"/>
        <c:minorTickMark val="none"/>
        <c:tickLblPos val="nextTo"/>
        <c:crossAx val="118924800"/>
        <c:crosses val="autoZero"/>
        <c:auto val="1"/>
        <c:lblAlgn val="ctr"/>
        <c:lblOffset val="100"/>
        <c:noMultiLvlLbl val="0"/>
      </c:catAx>
      <c:valAx>
        <c:axId val="118924800"/>
        <c:scaling>
          <c:orientation val="minMax"/>
          <c:max val="10"/>
          <c:min val="0"/>
        </c:scaling>
        <c:delete val="0"/>
        <c:axPos val="l"/>
        <c:majorGridlines/>
        <c:numFmt formatCode="0" sourceLinked="0"/>
        <c:majorTickMark val="out"/>
        <c:minorTickMark val="none"/>
        <c:tickLblPos val="nextTo"/>
        <c:crossAx val="118919552"/>
        <c:crosses val="autoZero"/>
        <c:crossBetween val="between"/>
        <c:majorUnit val="2"/>
      </c:valAx>
    </c:plotArea>
    <c:legend>
      <c:legendPos val="b"/>
      <c:layout/>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Change</a:t>
            </a:r>
            <a:r>
              <a:rPr lang="en-US" sz="1400" baseline="0"/>
              <a:t> in overall scores </a:t>
            </a:r>
          </a:p>
          <a:p>
            <a:pPr>
              <a:defRPr/>
            </a:pPr>
            <a:r>
              <a:rPr lang="en-US" sz="1400" baseline="0"/>
              <a:t>from March 2018 to September 2018</a:t>
            </a:r>
            <a:endParaRPr lang="en-US" sz="1400"/>
          </a:p>
        </c:rich>
      </c:tx>
      <c:layout/>
      <c:overlay val="0"/>
    </c:title>
    <c:autoTitleDeleted val="0"/>
    <c:plotArea>
      <c:layout>
        <c:manualLayout>
          <c:layoutTarget val="inner"/>
          <c:xMode val="edge"/>
          <c:yMode val="edge"/>
          <c:x val="5.2941782277215348E-2"/>
          <c:y val="0.17218759113444151"/>
          <c:w val="0.624029405521356"/>
          <c:h val="0.56507217847769031"/>
        </c:manualLayout>
      </c:layout>
      <c:barChart>
        <c:barDir val="col"/>
        <c:grouping val="clustered"/>
        <c:varyColors val="0"/>
        <c:ser>
          <c:idx val="0"/>
          <c:order val="0"/>
          <c:tx>
            <c:strRef>
              <c:f>Change!$B$24</c:f>
              <c:strCache>
                <c:ptCount val="1"/>
                <c:pt idx="0">
                  <c:v>Mar-18</c:v>
                </c:pt>
              </c:strCache>
            </c:strRef>
          </c:tx>
          <c:invertIfNegative val="0"/>
          <c:dLbls>
            <c:txPr>
              <a:bodyPr rot="5400000" vert="horz"/>
              <a:lstStyle/>
              <a:p>
                <a:pPr>
                  <a:defRPr/>
                </a:pPr>
                <a:endParaRPr lang="en-US"/>
              </a:p>
            </c:txPr>
            <c:dLblPos val="inEnd"/>
            <c:showLegendKey val="0"/>
            <c:showVal val="1"/>
            <c:showCatName val="0"/>
            <c:showSerName val="0"/>
            <c:showPercent val="0"/>
            <c:showBubbleSize val="0"/>
            <c:showLeaderLines val="0"/>
          </c:dLbls>
          <c:cat>
            <c:strRef>
              <c:f>Change!$A$25:$A$32</c:f>
              <c:strCache>
                <c:ptCount val="8"/>
                <c:pt idx="0">
                  <c:v>Caring</c:v>
                </c:pt>
                <c:pt idx="1">
                  <c:v>Purpose</c:v>
                </c:pt>
                <c:pt idx="2">
                  <c:v>Learning</c:v>
                </c:pt>
                <c:pt idx="3">
                  <c:v>Enjoyment</c:v>
                </c:pt>
                <c:pt idx="4">
                  <c:v>Results</c:v>
                </c:pt>
                <c:pt idx="5">
                  <c:v>Authority</c:v>
                </c:pt>
                <c:pt idx="6">
                  <c:v>Safety</c:v>
                </c:pt>
                <c:pt idx="7">
                  <c:v>Order</c:v>
                </c:pt>
              </c:strCache>
            </c:strRef>
          </c:cat>
          <c:val>
            <c:numRef>
              <c:f>Change!$B$25:$B$32</c:f>
              <c:numCache>
                <c:formatCode>0.0</c:formatCode>
                <c:ptCount val="8"/>
                <c:pt idx="0">
                  <c:v>6.0549450549450547</c:v>
                </c:pt>
                <c:pt idx="1">
                  <c:v>6.6813186813186816</c:v>
                </c:pt>
                <c:pt idx="2">
                  <c:v>6.813186813186813</c:v>
                </c:pt>
                <c:pt idx="3">
                  <c:v>5.0769230769230766</c:v>
                </c:pt>
                <c:pt idx="4">
                  <c:v>6.3296703296703294</c:v>
                </c:pt>
                <c:pt idx="5">
                  <c:v>6.6263736263736268</c:v>
                </c:pt>
                <c:pt idx="6">
                  <c:v>6.1318681318681323</c:v>
                </c:pt>
                <c:pt idx="7">
                  <c:v>6.197802197802198</c:v>
                </c:pt>
              </c:numCache>
            </c:numRef>
          </c:val>
        </c:ser>
        <c:ser>
          <c:idx val="1"/>
          <c:order val="1"/>
          <c:tx>
            <c:strRef>
              <c:f>Change!$C$24</c:f>
              <c:strCache>
                <c:ptCount val="1"/>
                <c:pt idx="0">
                  <c:v>Sep-18</c:v>
                </c:pt>
              </c:strCache>
            </c:strRef>
          </c:tx>
          <c:spPr>
            <a:solidFill>
              <a:schemeClr val="accent3"/>
            </a:solidFill>
          </c:spPr>
          <c:invertIfNegative val="0"/>
          <c:dPt>
            <c:idx val="6"/>
            <c:invertIfNegative val="0"/>
            <c:bubble3D val="0"/>
            <c:spPr>
              <a:solidFill>
                <a:schemeClr val="accent2"/>
              </a:solidFill>
            </c:spPr>
          </c:dPt>
          <c:dPt>
            <c:idx val="7"/>
            <c:invertIfNegative val="0"/>
            <c:bubble3D val="0"/>
            <c:spPr>
              <a:solidFill>
                <a:schemeClr val="accent2"/>
              </a:solidFill>
            </c:spPr>
          </c:dPt>
          <c:dLbls>
            <c:txPr>
              <a:bodyPr rot="5400000" vert="horz"/>
              <a:lstStyle/>
              <a:p>
                <a:pPr>
                  <a:defRPr/>
                </a:pPr>
                <a:endParaRPr lang="en-US"/>
              </a:p>
            </c:txPr>
            <c:dLblPos val="inEnd"/>
            <c:showLegendKey val="0"/>
            <c:showVal val="1"/>
            <c:showCatName val="0"/>
            <c:showSerName val="0"/>
            <c:showPercent val="0"/>
            <c:showBubbleSize val="0"/>
            <c:showLeaderLines val="0"/>
          </c:dLbls>
          <c:cat>
            <c:strRef>
              <c:f>Change!$A$25:$A$32</c:f>
              <c:strCache>
                <c:ptCount val="8"/>
                <c:pt idx="0">
                  <c:v>Caring</c:v>
                </c:pt>
                <c:pt idx="1">
                  <c:v>Purpose</c:v>
                </c:pt>
                <c:pt idx="2">
                  <c:v>Learning</c:v>
                </c:pt>
                <c:pt idx="3">
                  <c:v>Enjoyment</c:v>
                </c:pt>
                <c:pt idx="4">
                  <c:v>Results</c:v>
                </c:pt>
                <c:pt idx="5">
                  <c:v>Authority</c:v>
                </c:pt>
                <c:pt idx="6">
                  <c:v>Safety</c:v>
                </c:pt>
                <c:pt idx="7">
                  <c:v>Order</c:v>
                </c:pt>
              </c:strCache>
            </c:strRef>
          </c:cat>
          <c:val>
            <c:numRef>
              <c:f>Change!$C$25:$C$32</c:f>
              <c:numCache>
                <c:formatCode>0.0</c:formatCode>
                <c:ptCount val="8"/>
                <c:pt idx="0">
                  <c:v>6.5454545454545459</c:v>
                </c:pt>
                <c:pt idx="1">
                  <c:v>6.8051948051948052</c:v>
                </c:pt>
                <c:pt idx="2">
                  <c:v>7.220779220779221</c:v>
                </c:pt>
                <c:pt idx="3">
                  <c:v>5.4415584415584419</c:v>
                </c:pt>
                <c:pt idx="4">
                  <c:v>6.6363636363636367</c:v>
                </c:pt>
                <c:pt idx="5">
                  <c:v>6.8051948051948052</c:v>
                </c:pt>
                <c:pt idx="6">
                  <c:v>6.0779220779220777</c:v>
                </c:pt>
                <c:pt idx="7">
                  <c:v>5.7922077922077921</c:v>
                </c:pt>
              </c:numCache>
            </c:numRef>
          </c:val>
        </c:ser>
        <c:dLbls>
          <c:showLegendKey val="0"/>
          <c:showVal val="0"/>
          <c:showCatName val="0"/>
          <c:showSerName val="0"/>
          <c:showPercent val="0"/>
          <c:showBubbleSize val="0"/>
        </c:dLbls>
        <c:gapWidth val="50"/>
        <c:axId val="118839168"/>
        <c:axId val="118840704"/>
      </c:barChart>
      <c:catAx>
        <c:axId val="118839168"/>
        <c:scaling>
          <c:orientation val="minMax"/>
        </c:scaling>
        <c:delete val="0"/>
        <c:axPos val="b"/>
        <c:numFmt formatCode="mmm\-yy" sourceLinked="1"/>
        <c:majorTickMark val="out"/>
        <c:minorTickMark val="none"/>
        <c:tickLblPos val="nextTo"/>
        <c:txPr>
          <a:bodyPr rot="5400000" vert="horz"/>
          <a:lstStyle/>
          <a:p>
            <a:pPr>
              <a:defRPr/>
            </a:pPr>
            <a:endParaRPr lang="en-US"/>
          </a:p>
        </c:txPr>
        <c:crossAx val="118840704"/>
        <c:crosses val="autoZero"/>
        <c:auto val="1"/>
        <c:lblAlgn val="ctr"/>
        <c:lblOffset val="100"/>
        <c:noMultiLvlLbl val="0"/>
      </c:catAx>
      <c:valAx>
        <c:axId val="118840704"/>
        <c:scaling>
          <c:orientation val="minMax"/>
          <c:max val="10"/>
        </c:scaling>
        <c:delete val="0"/>
        <c:axPos val="l"/>
        <c:numFmt formatCode="0" sourceLinked="0"/>
        <c:majorTickMark val="out"/>
        <c:minorTickMark val="none"/>
        <c:tickLblPos val="nextTo"/>
        <c:crossAx val="118839168"/>
        <c:crosses val="autoZero"/>
        <c:crossBetween val="between"/>
        <c:majorUnit val="2"/>
      </c:valAx>
    </c:plotArea>
    <c:legend>
      <c:legendPos val="r"/>
      <c:layout/>
      <c:overlay val="0"/>
    </c:legend>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0.67762</cdr:x>
      <cdr:y>0.25811</cdr:y>
    </cdr:from>
    <cdr:to>
      <cdr:x>1</cdr:x>
      <cdr:y>0.67014</cdr:y>
    </cdr:to>
    <cdr:sp macro="" textlink="">
      <cdr:nvSpPr>
        <cdr:cNvPr id="2" name="TextBox 1"/>
        <cdr:cNvSpPr txBox="1"/>
      </cdr:nvSpPr>
      <cdr:spPr>
        <a:xfrm xmlns:a="http://schemas.openxmlformats.org/drawingml/2006/main">
          <a:off x="3883786" y="666750"/>
          <a:ext cx="1847724" cy="1064342"/>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pPr algn="l"/>
          <a:r>
            <a:rPr lang="en-GB" sz="1000">
              <a:solidFill>
                <a:schemeClr val="accent1"/>
              </a:solidFill>
              <a:latin typeface="Arial"/>
              <a:cs typeface="Arial"/>
              <a:sym typeface="Wingdings"/>
            </a:rPr>
            <a:t> </a:t>
          </a:r>
          <a:r>
            <a:rPr lang="en-GB" sz="900">
              <a:latin typeface="Arial"/>
              <a:cs typeface="Arial"/>
              <a:sym typeface="Wingdings"/>
            </a:rPr>
            <a:t>March 2018</a:t>
          </a:r>
          <a:endParaRPr lang="en-GB" sz="1000">
            <a:latin typeface="Arial"/>
            <a:cs typeface="Arial"/>
            <a:sym typeface="Wingdings"/>
          </a:endParaRPr>
        </a:p>
        <a:p xmlns:a="http://schemas.openxmlformats.org/drawingml/2006/main">
          <a:pPr algn="l"/>
          <a:r>
            <a:rPr lang="en-GB" sz="1000">
              <a:solidFill>
                <a:schemeClr val="accent3"/>
              </a:solidFill>
              <a:latin typeface="Arial"/>
              <a:cs typeface="Arial"/>
              <a:sym typeface="Wingdings"/>
            </a:rPr>
            <a:t> </a:t>
          </a:r>
          <a:r>
            <a:rPr lang="en-GB" sz="900">
              <a:latin typeface="Arial"/>
              <a:cs typeface="Arial"/>
              <a:sym typeface="Wingdings"/>
            </a:rPr>
            <a:t>Sept</a:t>
          </a:r>
          <a:r>
            <a:rPr lang="en-GB" sz="900" baseline="0">
              <a:latin typeface="Arial"/>
              <a:cs typeface="Arial"/>
              <a:sym typeface="Wingdings"/>
            </a:rPr>
            <a:t> 2018 (increase)</a:t>
          </a:r>
        </a:p>
        <a:p xmlns:a="http://schemas.openxmlformats.org/drawingml/2006/main">
          <a:pPr algn="l"/>
          <a:r>
            <a:rPr lang="en-GB" sz="1000" baseline="0">
              <a:solidFill>
                <a:schemeClr val="accent2"/>
              </a:solidFill>
              <a:latin typeface="Arial"/>
              <a:cs typeface="Arial"/>
              <a:sym typeface="Wingdings"/>
            </a:rPr>
            <a:t></a:t>
          </a:r>
          <a:r>
            <a:rPr lang="en-GB" sz="1000" baseline="0">
              <a:latin typeface="Arial"/>
              <a:cs typeface="Arial"/>
              <a:sym typeface="Wingdings"/>
            </a:rPr>
            <a:t> </a:t>
          </a:r>
          <a:r>
            <a:rPr lang="en-GB" sz="900" baseline="0">
              <a:latin typeface="Arial"/>
              <a:cs typeface="Arial"/>
              <a:sym typeface="Wingdings"/>
            </a:rPr>
            <a:t>Sept 2018 (decrease)</a:t>
          </a:r>
        </a:p>
        <a:p xmlns:a="http://schemas.openxmlformats.org/drawingml/2006/main">
          <a:pPr algn="l"/>
          <a:r>
            <a:rPr lang="en-GB" sz="1000" b="1" baseline="0">
              <a:solidFill>
                <a:schemeClr val="accent3"/>
              </a:solidFill>
              <a:latin typeface="Arial"/>
              <a:cs typeface="Arial"/>
              <a:sym typeface="Wingdings"/>
            </a:rPr>
            <a:t>* </a:t>
          </a:r>
          <a:r>
            <a:rPr lang="en-GB" sz="900" baseline="0">
              <a:latin typeface="Arial"/>
              <a:cs typeface="Arial"/>
              <a:sym typeface="Wingdings"/>
            </a:rPr>
            <a:t>Statistically significant change</a:t>
          </a:r>
          <a:endParaRPr lang="en-GB" sz="1000"/>
        </a:p>
      </cdr:txBody>
    </cdr:sp>
  </cdr:relSizeAnchor>
  <cdr:relSizeAnchor xmlns:cdr="http://schemas.openxmlformats.org/drawingml/2006/chartDrawing">
    <cdr:from>
      <cdr:x>0.08911</cdr:x>
      <cdr:y>0.29053</cdr:y>
    </cdr:from>
    <cdr:to>
      <cdr:x>0.12197</cdr:x>
      <cdr:y>0.37039</cdr:y>
    </cdr:to>
    <cdr:sp macro="" textlink="">
      <cdr:nvSpPr>
        <cdr:cNvPr id="3" name="TextBox 2"/>
        <cdr:cNvSpPr txBox="1"/>
      </cdr:nvSpPr>
      <cdr:spPr>
        <a:xfrm xmlns:a="http://schemas.openxmlformats.org/drawingml/2006/main">
          <a:off x="510724" y="750485"/>
          <a:ext cx="188338" cy="20629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100" b="1">
              <a:solidFill>
                <a:schemeClr val="accent3"/>
              </a:solidFill>
            </a:rPr>
            <a: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Penfold</dc:creator>
  <cp:lastModifiedBy>James Penfold</cp:lastModifiedBy>
  <cp:revision>7</cp:revision>
  <dcterms:created xsi:type="dcterms:W3CDTF">2018-10-01T09:35:00Z</dcterms:created>
  <dcterms:modified xsi:type="dcterms:W3CDTF">2018-10-04T14:38:00Z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1340464289</vt:i4>
  </property>
  <property fmtid="{D5CDD505-2E9C-101B-9397-08002B2CF9AE}" pid="3" name="_NewReviewCycle">
    <vt:lpwstr/>
  </property>
  <property fmtid="{D5CDD505-2E9C-101B-9397-08002B2CF9AE}" pid="4" name="_EmailSubject">
    <vt:lpwstr>Culture Survey Results for last two years</vt:lpwstr>
  </property>
  <property fmtid="{D5CDD505-2E9C-101B-9397-08002B2CF9AE}" pid="5" name="_AuthorEmail">
    <vt:lpwstr>Hayley.Phillips@hafod.org.uk</vt:lpwstr>
  </property>
  <property fmtid="{D5CDD505-2E9C-101B-9397-08002B2CF9AE}" pid="6" name="_AuthorEmailDisplayName">
    <vt:lpwstr>Hayley Phillips</vt:lpwstr>
  </property>
</Properties>
</file>