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rawings/drawing2.xml" ContentType="application/vnd.openxmlformats-officedocument.drawingml.chartshapes+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chart4.xml" ContentType="application/vnd.openxmlformats-officedocument.drawingml.chart+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26" w:rsidRPr="003160BD" w:rsidRDefault="00EB6026" w:rsidP="00EB6026">
      <w:pPr>
        <w:rPr>
          <w:b/>
        </w:rPr>
      </w:pPr>
      <w:proofErr w:type="spellStart"/>
      <w:r w:rsidRPr="003160BD">
        <w:rPr>
          <w:b/>
        </w:rPr>
        <w:t>Hafod’s</w:t>
      </w:r>
      <w:proofErr w:type="spellEnd"/>
      <w:r w:rsidRPr="003160BD">
        <w:rPr>
          <w:b/>
        </w:rPr>
        <w:t xml:space="preserve"> Organisational Culture Profile </w:t>
      </w:r>
    </w:p>
    <w:p w:rsidR="00EB6026" w:rsidRDefault="00EB6026" w:rsidP="00EB6026">
      <w:pPr>
        <w:rPr>
          <w:sz w:val="24"/>
        </w:rPr>
      </w:pPr>
      <w:r w:rsidRPr="00930844">
        <w:rPr>
          <w:sz w:val="24"/>
        </w:rPr>
        <w:t xml:space="preserve">In </w:t>
      </w:r>
      <w:r w:rsidR="00A4629B">
        <w:rPr>
          <w:sz w:val="24"/>
        </w:rPr>
        <w:t>March 2019</w:t>
      </w:r>
      <w:r w:rsidRPr="00930844">
        <w:rPr>
          <w:sz w:val="24"/>
        </w:rPr>
        <w:t xml:space="preserve">, </w:t>
      </w:r>
      <w:proofErr w:type="spellStart"/>
      <w:r w:rsidRPr="00930844">
        <w:rPr>
          <w:sz w:val="24"/>
        </w:rPr>
        <w:t>Hafod</w:t>
      </w:r>
      <w:proofErr w:type="spellEnd"/>
      <w:r w:rsidRPr="00930844">
        <w:rPr>
          <w:sz w:val="24"/>
        </w:rPr>
        <w:t xml:space="preserve"> Board</w:t>
      </w:r>
      <w:r w:rsidR="00A4629B">
        <w:rPr>
          <w:sz w:val="24"/>
        </w:rPr>
        <w:t xml:space="preserve"> and Committee</w:t>
      </w:r>
      <w:r w:rsidRPr="00930844">
        <w:rPr>
          <w:sz w:val="24"/>
        </w:rPr>
        <w:t xml:space="preserve"> Members and a selection of staff were invited to take part in a cultural profile survey</w:t>
      </w:r>
      <w:r w:rsidRPr="003160BD">
        <w:rPr>
          <w:sz w:val="24"/>
        </w:rPr>
        <w:t xml:space="preserve"> </w:t>
      </w:r>
      <w:r>
        <w:rPr>
          <w:sz w:val="24"/>
        </w:rPr>
        <w:t xml:space="preserve">based on the work of </w:t>
      </w:r>
      <w:proofErr w:type="spellStart"/>
      <w:r>
        <w:rPr>
          <w:sz w:val="24"/>
        </w:rPr>
        <w:t>Groysberg</w:t>
      </w:r>
      <w:proofErr w:type="spellEnd"/>
      <w:r>
        <w:rPr>
          <w:sz w:val="24"/>
        </w:rPr>
        <w:t xml:space="preserve"> </w:t>
      </w:r>
      <w:r w:rsidRPr="00930844">
        <w:rPr>
          <w:i/>
          <w:sz w:val="24"/>
        </w:rPr>
        <w:t>et al</w:t>
      </w:r>
      <w:r>
        <w:rPr>
          <w:sz w:val="24"/>
        </w:rPr>
        <w:t xml:space="preserve"> (2018)</w:t>
      </w:r>
      <w:r>
        <w:rPr>
          <w:rStyle w:val="EndnoteReference"/>
          <w:sz w:val="24"/>
        </w:rPr>
        <w:endnoteReference w:id="1"/>
      </w:r>
      <w:r>
        <w:rPr>
          <w:sz w:val="24"/>
        </w:rPr>
        <w:t xml:space="preserve"> of Harvard Business School.  This exercise was first undertaken in March 2018 and this </w:t>
      </w:r>
      <w:r w:rsidR="00A4629B">
        <w:rPr>
          <w:sz w:val="24"/>
        </w:rPr>
        <w:t xml:space="preserve">was the second </w:t>
      </w:r>
      <w:r>
        <w:rPr>
          <w:sz w:val="24"/>
        </w:rPr>
        <w:t>follow-up survey</w:t>
      </w:r>
      <w:r w:rsidR="00A4629B">
        <w:rPr>
          <w:sz w:val="24"/>
        </w:rPr>
        <w:t>,</w:t>
      </w:r>
      <w:r>
        <w:rPr>
          <w:sz w:val="24"/>
        </w:rPr>
        <w:t xml:space="preserve"> designed to record any changes to the perceived culture of Hafod throughout a period of organisational change.  </w:t>
      </w:r>
    </w:p>
    <w:p w:rsidR="00F1768D" w:rsidRDefault="00F1768D" w:rsidP="00EB6026">
      <w:pPr>
        <w:rPr>
          <w:b/>
          <w:sz w:val="24"/>
        </w:rPr>
      </w:pPr>
    </w:p>
    <w:p w:rsidR="00EB6026" w:rsidRPr="00930844" w:rsidRDefault="00EB6026" w:rsidP="00EB6026">
      <w:pPr>
        <w:rPr>
          <w:b/>
          <w:sz w:val="24"/>
        </w:rPr>
      </w:pPr>
      <w:r w:rsidRPr="00930844">
        <w:rPr>
          <w:b/>
          <w:sz w:val="24"/>
        </w:rPr>
        <w:t xml:space="preserve">Methodology </w:t>
      </w:r>
    </w:p>
    <w:p w:rsidR="00EB6026" w:rsidRDefault="00EB6026" w:rsidP="00EB6026">
      <w:pPr>
        <w:rPr>
          <w:sz w:val="24"/>
        </w:rPr>
      </w:pPr>
      <w:r w:rsidRPr="00930844">
        <w:rPr>
          <w:sz w:val="24"/>
        </w:rPr>
        <w:t xml:space="preserve">Participants were invited to rank, on a five-point scale, how well they thought each of 16 statements described Hafod.  The statements were paired and organised into eight themes, </w:t>
      </w:r>
      <w:r>
        <w:rPr>
          <w:sz w:val="24"/>
        </w:rPr>
        <w:t xml:space="preserve">or attributes, </w:t>
      </w:r>
      <w:r w:rsidRPr="00930844">
        <w:rPr>
          <w:sz w:val="24"/>
        </w:rPr>
        <w:t xml:space="preserve">with the scores added to give an overall score for the </w:t>
      </w:r>
      <w:r>
        <w:rPr>
          <w:sz w:val="24"/>
        </w:rPr>
        <w:t>attribute</w:t>
      </w:r>
      <w:r w:rsidRPr="00930844">
        <w:rPr>
          <w:sz w:val="24"/>
        </w:rPr>
        <w:t xml:space="preserve">, </w:t>
      </w:r>
      <w:r w:rsidRPr="00930844">
        <w:rPr>
          <w:i/>
          <w:sz w:val="24"/>
        </w:rPr>
        <w:t>e.g.</w:t>
      </w:r>
      <w:r w:rsidRPr="00930844">
        <w:rPr>
          <w:sz w:val="24"/>
        </w:rPr>
        <w:t xml:space="preserve"> the ratings out of five for the statements “the organisation is focused on collaboration and mutual trust” and “the organisation feels like a big family” add together to form a score out of ten for the </w:t>
      </w:r>
      <w:r>
        <w:rPr>
          <w:sz w:val="24"/>
        </w:rPr>
        <w:t>attribute</w:t>
      </w:r>
      <w:r w:rsidRPr="00930844">
        <w:rPr>
          <w:sz w:val="24"/>
        </w:rPr>
        <w:t xml:space="preserve"> of “Caring”. </w:t>
      </w:r>
      <w:r>
        <w:rPr>
          <w:sz w:val="24"/>
        </w:rPr>
        <w:t xml:space="preserve"> </w:t>
      </w:r>
    </w:p>
    <w:p w:rsidR="00EB6026" w:rsidRPr="001664B7" w:rsidRDefault="00EB6026" w:rsidP="00EB6026">
      <w:pPr>
        <w:jc w:val="center"/>
        <w:rPr>
          <w:i/>
          <w:sz w:val="24"/>
        </w:rPr>
      </w:pPr>
      <w:r w:rsidRPr="001664B7">
        <w:rPr>
          <w:i/>
          <w:sz w:val="24"/>
        </w:rPr>
        <w:t>Table 1: Statements and attributes</w:t>
      </w:r>
    </w:p>
    <w:tbl>
      <w:tblPr>
        <w:tblStyle w:val="TableGrid"/>
        <w:tblW w:w="0" w:type="auto"/>
        <w:jc w:val="center"/>
        <w:tblLayout w:type="fixed"/>
        <w:tblLook w:val="04A0" w:firstRow="1" w:lastRow="0" w:firstColumn="1" w:lastColumn="0" w:noHBand="0" w:noVBand="1"/>
      </w:tblPr>
      <w:tblGrid>
        <w:gridCol w:w="3227"/>
        <w:gridCol w:w="425"/>
        <w:gridCol w:w="3827"/>
        <w:gridCol w:w="413"/>
        <w:gridCol w:w="1350"/>
      </w:tblGrid>
      <w:tr w:rsidR="00EB6026" w:rsidRPr="00930844" w:rsidTr="00536CAF">
        <w:trPr>
          <w:jc w:val="center"/>
        </w:trPr>
        <w:tc>
          <w:tcPr>
            <w:tcW w:w="3227" w:type="dxa"/>
            <w:vAlign w:val="center"/>
          </w:tcPr>
          <w:p w:rsidR="00EB6026" w:rsidRPr="00930844" w:rsidRDefault="00EB6026" w:rsidP="00536CAF">
            <w:pPr>
              <w:spacing w:before="60" w:after="60"/>
              <w:jc w:val="center"/>
              <w:rPr>
                <w:b/>
                <w:sz w:val="24"/>
              </w:rPr>
            </w:pPr>
            <w:r w:rsidRPr="00930844">
              <w:rPr>
                <w:b/>
                <w:sz w:val="24"/>
              </w:rPr>
              <w:t>The organisation is focused on</w:t>
            </w:r>
          </w:p>
        </w:tc>
        <w:tc>
          <w:tcPr>
            <w:tcW w:w="425" w:type="dxa"/>
            <w:vAlign w:val="center"/>
          </w:tcPr>
          <w:p w:rsidR="00EB6026" w:rsidRPr="00930844" w:rsidRDefault="00EB6026" w:rsidP="00536CAF">
            <w:pPr>
              <w:spacing w:before="60" w:after="60"/>
              <w:jc w:val="center"/>
              <w:rPr>
                <w:b/>
                <w:sz w:val="24"/>
              </w:rPr>
            </w:pPr>
            <w:r w:rsidRPr="00930844">
              <w:rPr>
                <w:b/>
                <w:sz w:val="24"/>
              </w:rPr>
              <w:t>+</w:t>
            </w:r>
          </w:p>
        </w:tc>
        <w:tc>
          <w:tcPr>
            <w:tcW w:w="3827" w:type="dxa"/>
            <w:vAlign w:val="center"/>
          </w:tcPr>
          <w:p w:rsidR="00EB6026" w:rsidRPr="00930844" w:rsidRDefault="00EB6026" w:rsidP="00536CAF">
            <w:pPr>
              <w:spacing w:before="60" w:after="60"/>
              <w:jc w:val="center"/>
              <w:rPr>
                <w:b/>
                <w:sz w:val="24"/>
              </w:rPr>
            </w:pPr>
            <w:r w:rsidRPr="00930844">
              <w:rPr>
                <w:b/>
                <w:sz w:val="24"/>
              </w:rPr>
              <w:t>The organisation feels like</w:t>
            </w:r>
          </w:p>
        </w:tc>
        <w:tc>
          <w:tcPr>
            <w:tcW w:w="413" w:type="dxa"/>
            <w:vAlign w:val="center"/>
          </w:tcPr>
          <w:p w:rsidR="00EB6026" w:rsidRPr="00930844" w:rsidRDefault="00EB6026" w:rsidP="00536CAF">
            <w:pPr>
              <w:spacing w:before="60" w:after="60"/>
              <w:jc w:val="center"/>
              <w:rPr>
                <w:b/>
                <w:sz w:val="24"/>
              </w:rPr>
            </w:pPr>
            <w:r w:rsidRPr="00930844">
              <w:rPr>
                <w:b/>
                <w:sz w:val="24"/>
              </w:rPr>
              <w:t>=</w:t>
            </w:r>
          </w:p>
        </w:tc>
        <w:tc>
          <w:tcPr>
            <w:tcW w:w="1350" w:type="dxa"/>
            <w:vAlign w:val="center"/>
          </w:tcPr>
          <w:p w:rsidR="00EB6026" w:rsidRPr="00930844" w:rsidRDefault="00EB6026" w:rsidP="00536CAF">
            <w:pPr>
              <w:spacing w:before="60" w:after="60"/>
              <w:jc w:val="center"/>
              <w:rPr>
                <w:b/>
                <w:sz w:val="24"/>
              </w:rPr>
            </w:pPr>
            <w:r w:rsidRPr="00930844">
              <w:rPr>
                <w:b/>
                <w:sz w:val="24"/>
              </w:rPr>
              <w:t>Total</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Collaboration &amp; mutual trust</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big family</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Caring</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Compassion &amp; tolerance</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An idealistic community or cause</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Purpose</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Exploration &amp; creativity</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dynamic project</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Learning</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Fun &amp; excitement</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celebration</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Enjoyment</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Achievement &amp; winning</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meritocracy</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Results</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Strength &amp; boldness</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competitive arena</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Authority</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Planning &amp; calculation</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meticulously planned operation</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Safety</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Structure &amp; stability</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smoothly running machine</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Order</w:t>
            </w:r>
          </w:p>
        </w:tc>
      </w:tr>
    </w:tbl>
    <w:p w:rsidR="00EB6026" w:rsidRDefault="00EB6026" w:rsidP="00EB6026">
      <w:pPr>
        <w:spacing w:before="240"/>
        <w:rPr>
          <w:sz w:val="24"/>
        </w:rPr>
      </w:pPr>
      <w:proofErr w:type="gramStart"/>
      <w:r>
        <w:rPr>
          <w:sz w:val="24"/>
        </w:rPr>
        <w:t>All 1</w:t>
      </w:r>
      <w:r w:rsidR="00A4629B">
        <w:rPr>
          <w:sz w:val="24"/>
        </w:rPr>
        <w:t xml:space="preserve">8 </w:t>
      </w:r>
      <w:proofErr w:type="spellStart"/>
      <w:r w:rsidR="00A4629B">
        <w:rPr>
          <w:sz w:val="24"/>
        </w:rPr>
        <w:t>Hafod</w:t>
      </w:r>
      <w:proofErr w:type="spellEnd"/>
      <w:r w:rsidR="00A4629B">
        <w:rPr>
          <w:sz w:val="24"/>
        </w:rPr>
        <w:t xml:space="preserve"> Board and Committee </w:t>
      </w:r>
      <w:r>
        <w:rPr>
          <w:sz w:val="24"/>
        </w:rPr>
        <w:t>Members were invited</w:t>
      </w:r>
      <w:r w:rsidRPr="00930844">
        <w:rPr>
          <w:sz w:val="24"/>
        </w:rPr>
        <w:t xml:space="preserve"> </w:t>
      </w:r>
      <w:r>
        <w:rPr>
          <w:sz w:val="24"/>
        </w:rPr>
        <w:t>to take part, together with 12</w:t>
      </w:r>
      <w:r w:rsidR="00A4629B">
        <w:rPr>
          <w:sz w:val="24"/>
        </w:rPr>
        <w:t>2</w:t>
      </w:r>
      <w:r>
        <w:rPr>
          <w:sz w:val="24"/>
        </w:rPr>
        <w:t xml:space="preserve"> members of staff.</w:t>
      </w:r>
      <w:proofErr w:type="gramEnd"/>
      <w:r>
        <w:rPr>
          <w:sz w:val="24"/>
        </w:rPr>
        <w:t xml:space="preserve">  At the start of 2018, there were separate Boards for Hafod Care, Hafod Housing and Hafod Resources, but these have now been replaced by a single </w:t>
      </w:r>
      <w:proofErr w:type="spellStart"/>
      <w:r>
        <w:rPr>
          <w:sz w:val="24"/>
        </w:rPr>
        <w:t>Hafod</w:t>
      </w:r>
      <w:proofErr w:type="spellEnd"/>
      <w:r>
        <w:rPr>
          <w:sz w:val="24"/>
        </w:rPr>
        <w:t xml:space="preserve"> Board</w:t>
      </w:r>
      <w:r w:rsidR="00A4629B">
        <w:rPr>
          <w:sz w:val="24"/>
        </w:rPr>
        <w:t>, supported by two committees</w:t>
      </w:r>
      <w:r>
        <w:rPr>
          <w:sz w:val="24"/>
        </w:rPr>
        <w:t xml:space="preserve">.  The selection of staff invited to take part in the survey </w:t>
      </w:r>
      <w:r w:rsidR="00A4629B">
        <w:rPr>
          <w:sz w:val="24"/>
        </w:rPr>
        <w:t xml:space="preserve">was expanded after the first iteration.  </w:t>
      </w:r>
      <w:r>
        <w:rPr>
          <w:sz w:val="24"/>
        </w:rPr>
        <w:t xml:space="preserve"> </w:t>
      </w:r>
      <w:r w:rsidR="00A4629B">
        <w:rPr>
          <w:sz w:val="24"/>
        </w:rPr>
        <w:t>The original</w:t>
      </w:r>
      <w:r>
        <w:rPr>
          <w:sz w:val="24"/>
        </w:rPr>
        <w:t xml:space="preserve"> survey was distributed to 86 members of staff, drawn from the Operational Leadership Group, the Housing &amp; Care Change Lab Workshops, attendees at a series of change management workshops, and managers from across the organisation.  These groups of staff were chosen as they are most likely to be able to comment on the current culture of the organisation, and have a part in cascading current developments to others.  The invitation list</w:t>
      </w:r>
      <w:r w:rsidR="00A4629B">
        <w:rPr>
          <w:sz w:val="24"/>
        </w:rPr>
        <w:t>s</w:t>
      </w:r>
      <w:r>
        <w:rPr>
          <w:sz w:val="24"/>
        </w:rPr>
        <w:t xml:space="preserve"> for the September 2018</w:t>
      </w:r>
      <w:r w:rsidR="00A4629B">
        <w:rPr>
          <w:sz w:val="24"/>
        </w:rPr>
        <w:t xml:space="preserve"> and March 2019</w:t>
      </w:r>
      <w:r>
        <w:rPr>
          <w:sz w:val="24"/>
        </w:rPr>
        <w:t xml:space="preserve"> </w:t>
      </w:r>
      <w:r>
        <w:rPr>
          <w:sz w:val="24"/>
        </w:rPr>
        <w:lastRenderedPageBreak/>
        <w:t>reiteration</w:t>
      </w:r>
      <w:r w:rsidR="00A4629B">
        <w:rPr>
          <w:sz w:val="24"/>
        </w:rPr>
        <w:t>s</w:t>
      </w:r>
      <w:r>
        <w:rPr>
          <w:sz w:val="24"/>
        </w:rPr>
        <w:t xml:space="preserve"> of the organisational culture </w:t>
      </w:r>
      <w:r w:rsidR="00A4629B">
        <w:rPr>
          <w:sz w:val="24"/>
        </w:rPr>
        <w:t xml:space="preserve">survey </w:t>
      </w:r>
      <w:r>
        <w:rPr>
          <w:sz w:val="24"/>
        </w:rPr>
        <w:t>w</w:t>
      </w:r>
      <w:r w:rsidR="00A4629B">
        <w:rPr>
          <w:sz w:val="24"/>
        </w:rPr>
        <w:t>ere</w:t>
      </w:r>
      <w:r>
        <w:rPr>
          <w:sz w:val="24"/>
        </w:rPr>
        <w:t xml:space="preserve"> expanded to include all frontline officers, including neighbourhood coaches, maintenance surveyors and care home managers and support managers.  </w:t>
      </w:r>
      <w:r w:rsidR="00F16D5C">
        <w:rPr>
          <w:sz w:val="24"/>
        </w:rPr>
        <w:t xml:space="preserve">The expanded invitation list thereby encompasses </w:t>
      </w:r>
      <w:proofErr w:type="gramStart"/>
      <w:r w:rsidR="00F16D5C">
        <w:rPr>
          <w:sz w:val="24"/>
        </w:rPr>
        <w:t>staff who regularly</w:t>
      </w:r>
      <w:r w:rsidR="00F16D5C" w:rsidRPr="00F16D5C">
        <w:rPr>
          <w:sz w:val="24"/>
        </w:rPr>
        <w:t xml:space="preserve"> interact</w:t>
      </w:r>
      <w:proofErr w:type="gramEnd"/>
      <w:r w:rsidR="00F16D5C" w:rsidRPr="00F16D5C">
        <w:rPr>
          <w:sz w:val="24"/>
        </w:rPr>
        <w:t xml:space="preserve"> with a variety of other teams</w:t>
      </w:r>
      <w:r w:rsidR="00F16D5C">
        <w:rPr>
          <w:sz w:val="24"/>
        </w:rPr>
        <w:t>, as well as customers,</w:t>
      </w:r>
      <w:r w:rsidR="00F16D5C" w:rsidRPr="00F16D5C">
        <w:rPr>
          <w:sz w:val="24"/>
        </w:rPr>
        <w:t xml:space="preserve"> and are either based in, or regularly attend meetings at, </w:t>
      </w:r>
      <w:proofErr w:type="spellStart"/>
      <w:r w:rsidR="00F16D5C" w:rsidRPr="00F16D5C">
        <w:rPr>
          <w:sz w:val="24"/>
        </w:rPr>
        <w:t>Hafod’</w:t>
      </w:r>
      <w:r w:rsidR="00F16D5C">
        <w:rPr>
          <w:sz w:val="24"/>
        </w:rPr>
        <w:t>s</w:t>
      </w:r>
      <w:proofErr w:type="spellEnd"/>
      <w:r w:rsidR="00F16D5C">
        <w:rPr>
          <w:sz w:val="24"/>
        </w:rPr>
        <w:t xml:space="preserve"> main office at St Hilary Court.  This level of interaction means that the invitees are best placed to comment on any changes in </w:t>
      </w:r>
      <w:proofErr w:type="spellStart"/>
      <w:r w:rsidR="00F16D5C">
        <w:rPr>
          <w:sz w:val="24"/>
        </w:rPr>
        <w:t>Hafod’s</w:t>
      </w:r>
      <w:proofErr w:type="spellEnd"/>
      <w:r w:rsidR="00F16D5C">
        <w:rPr>
          <w:sz w:val="24"/>
        </w:rPr>
        <w:t xml:space="preserve"> culture, and are knowledgeable about major potential influences on the organisational culture, such as the Welsh Government’s Regulatory Judgement, and the corporate priorities promoted by the Executive team.  </w:t>
      </w:r>
      <w:r>
        <w:rPr>
          <w:sz w:val="24"/>
        </w:rPr>
        <w:t xml:space="preserve">In </w:t>
      </w:r>
      <w:r w:rsidR="00A4629B">
        <w:rPr>
          <w:sz w:val="24"/>
        </w:rPr>
        <w:t>March 2019</w:t>
      </w:r>
      <w:r>
        <w:rPr>
          <w:sz w:val="24"/>
        </w:rPr>
        <w:t xml:space="preserve">, a total of </w:t>
      </w:r>
      <w:r w:rsidR="003D1E4B">
        <w:rPr>
          <w:sz w:val="24"/>
        </w:rPr>
        <w:t>10</w:t>
      </w:r>
      <w:r w:rsidR="00005E43">
        <w:rPr>
          <w:sz w:val="24"/>
        </w:rPr>
        <w:t xml:space="preserve"> Board/Committee </w:t>
      </w:r>
      <w:r w:rsidRPr="00FE1519">
        <w:rPr>
          <w:sz w:val="24"/>
        </w:rPr>
        <w:t xml:space="preserve">members and </w:t>
      </w:r>
      <w:r w:rsidR="003D1E4B">
        <w:rPr>
          <w:sz w:val="24"/>
        </w:rPr>
        <w:t>1</w:t>
      </w:r>
      <w:r w:rsidR="00BC7A88">
        <w:rPr>
          <w:sz w:val="24"/>
        </w:rPr>
        <w:t>12</w:t>
      </w:r>
      <w:r w:rsidRPr="00FE1519">
        <w:rPr>
          <w:sz w:val="24"/>
        </w:rPr>
        <w:t xml:space="preserve"> staff</w:t>
      </w:r>
      <w:r>
        <w:rPr>
          <w:sz w:val="24"/>
        </w:rPr>
        <w:t xml:space="preserve"> took part, representing </w:t>
      </w:r>
      <w:r w:rsidR="00BC7A88">
        <w:rPr>
          <w:sz w:val="24"/>
        </w:rPr>
        <w:t>an</w:t>
      </w:r>
      <w:r>
        <w:rPr>
          <w:sz w:val="24"/>
        </w:rPr>
        <w:t xml:space="preserve"> </w:t>
      </w:r>
      <w:r w:rsidR="00FA2324">
        <w:rPr>
          <w:sz w:val="24"/>
        </w:rPr>
        <w:t>8</w:t>
      </w:r>
      <w:r w:rsidR="00BC7A88">
        <w:rPr>
          <w:sz w:val="24"/>
        </w:rPr>
        <w:t>7</w:t>
      </w:r>
      <w:r w:rsidR="00A4629B" w:rsidRPr="00FE1519">
        <w:rPr>
          <w:sz w:val="24"/>
        </w:rPr>
        <w:t>%</w:t>
      </w:r>
      <w:r w:rsidRPr="00FE1519">
        <w:rPr>
          <w:sz w:val="24"/>
        </w:rPr>
        <w:t xml:space="preserve"> return overall.</w:t>
      </w:r>
      <w:r>
        <w:rPr>
          <w:sz w:val="24"/>
        </w:rPr>
        <w:t xml:space="preserve">  </w:t>
      </w:r>
    </w:p>
    <w:p w:rsidR="00F1768D" w:rsidRDefault="00F1768D" w:rsidP="00EB6026">
      <w:pPr>
        <w:rPr>
          <w:b/>
          <w:sz w:val="24"/>
        </w:rPr>
      </w:pPr>
    </w:p>
    <w:p w:rsidR="00EB6026" w:rsidRDefault="00EB6026" w:rsidP="00EB6026">
      <w:pPr>
        <w:rPr>
          <w:b/>
          <w:sz w:val="24"/>
        </w:rPr>
      </w:pPr>
      <w:r w:rsidRPr="00005E43">
        <w:rPr>
          <w:b/>
          <w:sz w:val="24"/>
        </w:rPr>
        <w:t>Results</w:t>
      </w:r>
      <w:r w:rsidRPr="00930844">
        <w:rPr>
          <w:b/>
          <w:sz w:val="24"/>
        </w:rPr>
        <w:t xml:space="preserve"> </w:t>
      </w:r>
    </w:p>
    <w:p w:rsidR="00EB6026" w:rsidRDefault="00EB6026" w:rsidP="00EB6026">
      <w:pPr>
        <w:rPr>
          <w:sz w:val="24"/>
        </w:rPr>
      </w:pPr>
      <w:r>
        <w:rPr>
          <w:sz w:val="24"/>
        </w:rPr>
        <w:t xml:space="preserve">The results showed that Hafod has a cultural profile that leans towards the attributes of Learning, </w:t>
      </w:r>
      <w:r w:rsidR="001925D3">
        <w:rPr>
          <w:sz w:val="24"/>
        </w:rPr>
        <w:t>Purpose</w:t>
      </w:r>
      <w:r w:rsidR="001925D3">
        <w:rPr>
          <w:sz w:val="24"/>
        </w:rPr>
        <w:t xml:space="preserve"> and </w:t>
      </w:r>
      <w:r w:rsidR="00FB32C5">
        <w:rPr>
          <w:sz w:val="24"/>
        </w:rPr>
        <w:t>Authority</w:t>
      </w:r>
      <w:r>
        <w:rPr>
          <w:sz w:val="24"/>
        </w:rPr>
        <w:t>.  These three attributes were the top three choices</w:t>
      </w:r>
      <w:r w:rsidR="001925D3">
        <w:rPr>
          <w:sz w:val="24"/>
        </w:rPr>
        <w:t>, in the same order,</w:t>
      </w:r>
      <w:r>
        <w:rPr>
          <w:sz w:val="24"/>
        </w:rPr>
        <w:t xml:space="preserve"> in the original survey in March 2018</w:t>
      </w:r>
      <w:r w:rsidR="00FB32C5">
        <w:rPr>
          <w:sz w:val="24"/>
        </w:rPr>
        <w:t>, and again in the second survey in September 2018</w:t>
      </w:r>
      <w:r>
        <w:rPr>
          <w:sz w:val="24"/>
        </w:rPr>
        <w:t xml:space="preserve">.  </w:t>
      </w:r>
      <w:r w:rsidR="00FB32C5">
        <w:rPr>
          <w:sz w:val="24"/>
        </w:rPr>
        <w:t xml:space="preserve">The difference between the top three choices is small, however.  </w:t>
      </w:r>
      <w:r>
        <w:rPr>
          <w:sz w:val="24"/>
        </w:rPr>
        <w:t>Board</w:t>
      </w:r>
      <w:r w:rsidR="00005E43">
        <w:rPr>
          <w:sz w:val="24"/>
        </w:rPr>
        <w:t xml:space="preserve"> and Committee</w:t>
      </w:r>
      <w:r>
        <w:rPr>
          <w:sz w:val="24"/>
        </w:rPr>
        <w:t xml:space="preserve"> Members ranked each attribute in a different order</w:t>
      </w:r>
      <w:r w:rsidR="00005E43">
        <w:rPr>
          <w:sz w:val="24"/>
        </w:rPr>
        <w:t xml:space="preserve"> to staff</w:t>
      </w:r>
      <w:r>
        <w:rPr>
          <w:sz w:val="24"/>
        </w:rPr>
        <w:t xml:space="preserve">, rating </w:t>
      </w:r>
      <w:r w:rsidR="00FB32C5">
        <w:rPr>
          <w:sz w:val="24"/>
        </w:rPr>
        <w:t>Purpose highest, Learning second, and Results in third place, above</w:t>
      </w:r>
      <w:r>
        <w:rPr>
          <w:sz w:val="24"/>
        </w:rPr>
        <w:t xml:space="preserve"> Authority.  </w:t>
      </w:r>
    </w:p>
    <w:p w:rsidR="00EB6026" w:rsidRPr="001664B7" w:rsidRDefault="00EB6026" w:rsidP="00EB6026">
      <w:pPr>
        <w:jc w:val="center"/>
        <w:rPr>
          <w:i/>
          <w:sz w:val="24"/>
        </w:rPr>
      </w:pPr>
      <w:r w:rsidRPr="001664B7">
        <w:rPr>
          <w:i/>
          <w:sz w:val="24"/>
        </w:rPr>
        <w:t>Table 2: Top three cultural attributes</w:t>
      </w:r>
    </w:p>
    <w:tbl>
      <w:tblPr>
        <w:tblStyle w:val="TableGrid"/>
        <w:tblW w:w="0" w:type="auto"/>
        <w:tblLook w:val="04A0" w:firstRow="1" w:lastRow="0" w:firstColumn="1" w:lastColumn="0" w:noHBand="0" w:noVBand="1"/>
      </w:tblPr>
      <w:tblGrid>
        <w:gridCol w:w="2350"/>
        <w:gridCol w:w="2296"/>
        <w:gridCol w:w="2298"/>
        <w:gridCol w:w="2298"/>
      </w:tblGrid>
      <w:tr w:rsidR="00EB6026" w:rsidTr="00536CAF">
        <w:tc>
          <w:tcPr>
            <w:tcW w:w="2310" w:type="dxa"/>
            <w:tcBorders>
              <w:top w:val="nil"/>
              <w:left w:val="nil"/>
            </w:tcBorders>
          </w:tcPr>
          <w:p w:rsidR="00EB6026" w:rsidRDefault="00EB6026" w:rsidP="00536CAF">
            <w:pPr>
              <w:spacing w:before="60" w:after="60"/>
              <w:rPr>
                <w:b/>
                <w:sz w:val="24"/>
              </w:rPr>
            </w:pPr>
          </w:p>
        </w:tc>
        <w:tc>
          <w:tcPr>
            <w:tcW w:w="2310" w:type="dxa"/>
          </w:tcPr>
          <w:p w:rsidR="00EB6026" w:rsidRDefault="00EB6026" w:rsidP="00536CAF">
            <w:pPr>
              <w:spacing w:before="60" w:after="60"/>
              <w:jc w:val="center"/>
              <w:rPr>
                <w:b/>
                <w:sz w:val="24"/>
              </w:rPr>
            </w:pPr>
            <w:r>
              <w:rPr>
                <w:b/>
                <w:sz w:val="24"/>
              </w:rPr>
              <w:t>First</w:t>
            </w:r>
          </w:p>
        </w:tc>
        <w:tc>
          <w:tcPr>
            <w:tcW w:w="2311" w:type="dxa"/>
          </w:tcPr>
          <w:p w:rsidR="00EB6026" w:rsidRDefault="00EB6026" w:rsidP="00536CAF">
            <w:pPr>
              <w:spacing w:before="60" w:after="60"/>
              <w:jc w:val="center"/>
              <w:rPr>
                <w:b/>
                <w:sz w:val="24"/>
              </w:rPr>
            </w:pPr>
            <w:r>
              <w:rPr>
                <w:b/>
                <w:sz w:val="24"/>
              </w:rPr>
              <w:t>Second</w:t>
            </w:r>
          </w:p>
        </w:tc>
        <w:tc>
          <w:tcPr>
            <w:tcW w:w="2311" w:type="dxa"/>
          </w:tcPr>
          <w:p w:rsidR="00EB6026" w:rsidRDefault="00EB6026" w:rsidP="00536CAF">
            <w:pPr>
              <w:spacing w:before="60" w:after="60"/>
              <w:jc w:val="center"/>
              <w:rPr>
                <w:b/>
                <w:sz w:val="24"/>
              </w:rPr>
            </w:pPr>
            <w:r>
              <w:rPr>
                <w:b/>
                <w:sz w:val="24"/>
              </w:rPr>
              <w:t>Third</w:t>
            </w:r>
          </w:p>
        </w:tc>
      </w:tr>
      <w:tr w:rsidR="00EB6026" w:rsidTr="00536CAF">
        <w:tc>
          <w:tcPr>
            <w:tcW w:w="2310" w:type="dxa"/>
          </w:tcPr>
          <w:p w:rsidR="00EB6026" w:rsidRDefault="00EB6026" w:rsidP="00536CAF">
            <w:pPr>
              <w:spacing w:before="60" w:after="60"/>
              <w:rPr>
                <w:b/>
                <w:sz w:val="24"/>
              </w:rPr>
            </w:pPr>
            <w:r>
              <w:rPr>
                <w:b/>
                <w:sz w:val="24"/>
              </w:rPr>
              <w:t>Overall</w:t>
            </w:r>
          </w:p>
        </w:tc>
        <w:tc>
          <w:tcPr>
            <w:tcW w:w="2310" w:type="dxa"/>
          </w:tcPr>
          <w:p w:rsidR="00EB6026" w:rsidRPr="00930844" w:rsidRDefault="00EB6026" w:rsidP="00536CAF">
            <w:pPr>
              <w:spacing w:before="60" w:after="60"/>
              <w:jc w:val="center"/>
              <w:rPr>
                <w:sz w:val="24"/>
              </w:rPr>
            </w:pPr>
            <w:r w:rsidRPr="00930844">
              <w:rPr>
                <w:sz w:val="24"/>
              </w:rPr>
              <w:t>Learning</w:t>
            </w:r>
          </w:p>
        </w:tc>
        <w:tc>
          <w:tcPr>
            <w:tcW w:w="2311" w:type="dxa"/>
          </w:tcPr>
          <w:p w:rsidR="00EB6026" w:rsidRPr="00930844" w:rsidRDefault="00FA2324" w:rsidP="00FA2324">
            <w:pPr>
              <w:spacing w:before="60" w:after="60"/>
              <w:jc w:val="center"/>
              <w:rPr>
                <w:sz w:val="24"/>
              </w:rPr>
            </w:pPr>
            <w:r w:rsidRPr="00930844">
              <w:rPr>
                <w:sz w:val="24"/>
              </w:rPr>
              <w:t xml:space="preserve">Purpose </w:t>
            </w:r>
          </w:p>
        </w:tc>
        <w:tc>
          <w:tcPr>
            <w:tcW w:w="2311" w:type="dxa"/>
          </w:tcPr>
          <w:p w:rsidR="00EB6026" w:rsidRPr="00930844" w:rsidRDefault="00FA2324" w:rsidP="00536CAF">
            <w:pPr>
              <w:spacing w:before="60" w:after="60"/>
              <w:jc w:val="center"/>
              <w:rPr>
                <w:sz w:val="24"/>
              </w:rPr>
            </w:pPr>
            <w:r w:rsidRPr="00930844">
              <w:rPr>
                <w:sz w:val="24"/>
              </w:rPr>
              <w:t>Authority</w:t>
            </w:r>
          </w:p>
        </w:tc>
      </w:tr>
      <w:tr w:rsidR="00EB6026" w:rsidTr="00536CAF">
        <w:tc>
          <w:tcPr>
            <w:tcW w:w="2310" w:type="dxa"/>
          </w:tcPr>
          <w:p w:rsidR="00EB6026" w:rsidRDefault="00EB6026" w:rsidP="00536CAF">
            <w:pPr>
              <w:spacing w:before="60" w:after="60"/>
              <w:rPr>
                <w:b/>
                <w:sz w:val="24"/>
              </w:rPr>
            </w:pPr>
            <w:r>
              <w:rPr>
                <w:b/>
                <w:sz w:val="24"/>
              </w:rPr>
              <w:t>Board</w:t>
            </w:r>
            <w:r w:rsidR="00005E43">
              <w:rPr>
                <w:b/>
                <w:sz w:val="24"/>
              </w:rPr>
              <w:t>/Committees</w:t>
            </w:r>
          </w:p>
        </w:tc>
        <w:tc>
          <w:tcPr>
            <w:tcW w:w="2310" w:type="dxa"/>
          </w:tcPr>
          <w:p w:rsidR="00EB6026" w:rsidRPr="00930844" w:rsidRDefault="00FB32C5" w:rsidP="00FB32C5">
            <w:pPr>
              <w:spacing w:before="60" w:after="60"/>
              <w:jc w:val="center"/>
              <w:rPr>
                <w:sz w:val="24"/>
              </w:rPr>
            </w:pPr>
            <w:r w:rsidRPr="00FB32C5">
              <w:rPr>
                <w:sz w:val="24"/>
              </w:rPr>
              <w:t xml:space="preserve">Purpose </w:t>
            </w:r>
          </w:p>
        </w:tc>
        <w:tc>
          <w:tcPr>
            <w:tcW w:w="2311" w:type="dxa"/>
          </w:tcPr>
          <w:p w:rsidR="00EB6026" w:rsidRPr="00930844" w:rsidRDefault="00FB32C5" w:rsidP="00FB32C5">
            <w:pPr>
              <w:spacing w:before="60" w:after="60"/>
              <w:jc w:val="center"/>
              <w:rPr>
                <w:sz w:val="24"/>
              </w:rPr>
            </w:pPr>
            <w:r w:rsidRPr="00930844">
              <w:rPr>
                <w:sz w:val="24"/>
              </w:rPr>
              <w:t xml:space="preserve">Learning </w:t>
            </w:r>
          </w:p>
        </w:tc>
        <w:tc>
          <w:tcPr>
            <w:tcW w:w="2311" w:type="dxa"/>
          </w:tcPr>
          <w:p w:rsidR="00EB6026" w:rsidRPr="00930844" w:rsidRDefault="00EB6026" w:rsidP="00536CAF">
            <w:pPr>
              <w:spacing w:before="60" w:after="60"/>
              <w:jc w:val="center"/>
              <w:rPr>
                <w:sz w:val="24"/>
              </w:rPr>
            </w:pPr>
            <w:r>
              <w:rPr>
                <w:sz w:val="24"/>
              </w:rPr>
              <w:t>Results</w:t>
            </w:r>
          </w:p>
        </w:tc>
      </w:tr>
      <w:tr w:rsidR="00EB6026" w:rsidTr="00536CAF">
        <w:tc>
          <w:tcPr>
            <w:tcW w:w="2310" w:type="dxa"/>
          </w:tcPr>
          <w:p w:rsidR="00EB6026" w:rsidRDefault="00EB6026" w:rsidP="00536CAF">
            <w:pPr>
              <w:spacing w:before="60" w:after="60"/>
              <w:rPr>
                <w:b/>
                <w:sz w:val="24"/>
              </w:rPr>
            </w:pPr>
            <w:r>
              <w:rPr>
                <w:b/>
                <w:sz w:val="24"/>
              </w:rPr>
              <w:t>Staff</w:t>
            </w:r>
          </w:p>
        </w:tc>
        <w:tc>
          <w:tcPr>
            <w:tcW w:w="2310" w:type="dxa"/>
          </w:tcPr>
          <w:p w:rsidR="00EB6026" w:rsidRPr="00930844" w:rsidRDefault="00EB6026" w:rsidP="00536CAF">
            <w:pPr>
              <w:spacing w:before="60" w:after="60"/>
              <w:jc w:val="center"/>
              <w:rPr>
                <w:sz w:val="24"/>
              </w:rPr>
            </w:pPr>
            <w:r w:rsidRPr="00930844">
              <w:rPr>
                <w:sz w:val="24"/>
              </w:rPr>
              <w:t>Learning</w:t>
            </w:r>
          </w:p>
        </w:tc>
        <w:tc>
          <w:tcPr>
            <w:tcW w:w="2311" w:type="dxa"/>
          </w:tcPr>
          <w:p w:rsidR="00EB6026" w:rsidRPr="00930844" w:rsidRDefault="001925D3" w:rsidP="001925D3">
            <w:pPr>
              <w:spacing w:before="60" w:after="60"/>
              <w:jc w:val="center"/>
              <w:rPr>
                <w:sz w:val="24"/>
              </w:rPr>
            </w:pPr>
            <w:r w:rsidRPr="00930844">
              <w:rPr>
                <w:sz w:val="24"/>
              </w:rPr>
              <w:t>Purpose</w:t>
            </w:r>
            <w:r w:rsidRPr="00930844">
              <w:rPr>
                <w:sz w:val="24"/>
              </w:rPr>
              <w:t xml:space="preserve"> </w:t>
            </w:r>
          </w:p>
        </w:tc>
        <w:tc>
          <w:tcPr>
            <w:tcW w:w="2311" w:type="dxa"/>
          </w:tcPr>
          <w:p w:rsidR="00EB6026" w:rsidRPr="00930844" w:rsidRDefault="001925D3" w:rsidP="00536CAF">
            <w:pPr>
              <w:spacing w:before="60" w:after="60"/>
              <w:jc w:val="center"/>
              <w:rPr>
                <w:sz w:val="24"/>
              </w:rPr>
            </w:pPr>
            <w:r w:rsidRPr="001925D3">
              <w:rPr>
                <w:sz w:val="24"/>
              </w:rPr>
              <w:t>Authority</w:t>
            </w:r>
          </w:p>
        </w:tc>
      </w:tr>
    </w:tbl>
    <w:p w:rsidR="00EB6026" w:rsidRDefault="00EB6026" w:rsidP="00EB6026">
      <w:pPr>
        <w:rPr>
          <w:b/>
          <w:sz w:val="24"/>
        </w:rPr>
      </w:pPr>
    </w:p>
    <w:p w:rsidR="00F21104" w:rsidRDefault="00F21104" w:rsidP="00EB6026">
      <w:pPr>
        <w:rPr>
          <w:sz w:val="24"/>
        </w:rPr>
      </w:pPr>
      <w:r>
        <w:rPr>
          <w:sz w:val="24"/>
        </w:rPr>
        <w:t xml:space="preserve">As with the previous two surveys, </w:t>
      </w:r>
      <w:r w:rsidR="00EB6026">
        <w:rPr>
          <w:sz w:val="24"/>
        </w:rPr>
        <w:t xml:space="preserve">Board </w:t>
      </w:r>
      <w:r w:rsidR="00C3666F">
        <w:rPr>
          <w:sz w:val="24"/>
        </w:rPr>
        <w:t xml:space="preserve">and Committee </w:t>
      </w:r>
      <w:r w:rsidR="00EB6026">
        <w:rPr>
          <w:sz w:val="24"/>
        </w:rPr>
        <w:t>Members gave a higher score than staff t</w:t>
      </w:r>
      <w:r>
        <w:rPr>
          <w:sz w:val="24"/>
        </w:rPr>
        <w:t>o all eight cultural attributes.  T</w:t>
      </w:r>
      <w:r w:rsidR="00EB6026">
        <w:rPr>
          <w:sz w:val="24"/>
        </w:rPr>
        <w:t>he difference was</w:t>
      </w:r>
      <w:r w:rsidR="00FA2324">
        <w:rPr>
          <w:sz w:val="24"/>
        </w:rPr>
        <w:t xml:space="preserve"> only</w:t>
      </w:r>
      <w:r w:rsidR="00EB6026">
        <w:rPr>
          <w:sz w:val="24"/>
        </w:rPr>
        <w:t xml:space="preserve"> statistically significant (p </w:t>
      </w:r>
      <w:r w:rsidR="00FA2324">
        <w:rPr>
          <w:sz w:val="24"/>
        </w:rPr>
        <w:t>&lt;</w:t>
      </w:r>
      <w:r w:rsidR="00EB6026">
        <w:rPr>
          <w:sz w:val="24"/>
        </w:rPr>
        <w:t xml:space="preserve"> .05) for</w:t>
      </w:r>
      <w:r w:rsidR="00FA2324">
        <w:rPr>
          <w:sz w:val="24"/>
        </w:rPr>
        <w:t xml:space="preserve"> Order, howeve</w:t>
      </w:r>
      <w:r>
        <w:rPr>
          <w:sz w:val="24"/>
        </w:rPr>
        <w:t>r</w:t>
      </w:r>
      <w:r w:rsidR="001925D3">
        <w:rPr>
          <w:sz w:val="24"/>
        </w:rPr>
        <w:t xml:space="preserve">, </w:t>
      </w:r>
      <w:r w:rsidR="00EB6026">
        <w:rPr>
          <w:sz w:val="24"/>
        </w:rPr>
        <w:t xml:space="preserve">which Board </w:t>
      </w:r>
      <w:r w:rsidR="00C3666F">
        <w:rPr>
          <w:sz w:val="24"/>
        </w:rPr>
        <w:t xml:space="preserve">and Committee </w:t>
      </w:r>
      <w:r w:rsidR="00EB6026">
        <w:rPr>
          <w:sz w:val="24"/>
        </w:rPr>
        <w:t xml:space="preserve">Members </w:t>
      </w:r>
      <w:r>
        <w:rPr>
          <w:sz w:val="24"/>
        </w:rPr>
        <w:t>continue to rate much higher than staff</w:t>
      </w:r>
      <w:r w:rsidR="00EB6026">
        <w:rPr>
          <w:sz w:val="24"/>
        </w:rPr>
        <w:t xml:space="preserve">.  </w:t>
      </w:r>
    </w:p>
    <w:p w:rsidR="00F21104" w:rsidRDefault="001925D3" w:rsidP="00EB6026">
      <w:pPr>
        <w:rPr>
          <w:sz w:val="24"/>
        </w:rPr>
      </w:pPr>
      <w:r>
        <w:rPr>
          <w:sz w:val="24"/>
        </w:rPr>
        <w:t>Six</w:t>
      </w:r>
      <w:r w:rsidR="00FA2324">
        <w:rPr>
          <w:sz w:val="24"/>
        </w:rPr>
        <w:t xml:space="preserve"> of the</w:t>
      </w:r>
      <w:r w:rsidR="00F21104">
        <w:rPr>
          <w:sz w:val="24"/>
        </w:rPr>
        <w:t xml:space="preserve"> eight</w:t>
      </w:r>
      <w:r w:rsidR="00216243">
        <w:rPr>
          <w:sz w:val="24"/>
        </w:rPr>
        <w:t xml:space="preserve"> cultural attributes were given </w:t>
      </w:r>
      <w:r w:rsidR="00F21104">
        <w:rPr>
          <w:sz w:val="24"/>
        </w:rPr>
        <w:t>lower</w:t>
      </w:r>
      <w:r w:rsidR="00216243">
        <w:rPr>
          <w:sz w:val="24"/>
        </w:rPr>
        <w:t xml:space="preserve"> overall average scores in </w:t>
      </w:r>
      <w:r w:rsidR="00F21104">
        <w:rPr>
          <w:sz w:val="24"/>
        </w:rPr>
        <w:t>March 2019</w:t>
      </w:r>
      <w:r w:rsidR="00216243">
        <w:rPr>
          <w:sz w:val="24"/>
        </w:rPr>
        <w:t xml:space="preserve">, than they were given in the </w:t>
      </w:r>
      <w:r w:rsidR="00F21104">
        <w:rPr>
          <w:sz w:val="24"/>
        </w:rPr>
        <w:t>September</w:t>
      </w:r>
      <w:r w:rsidR="00216243">
        <w:rPr>
          <w:sz w:val="24"/>
        </w:rPr>
        <w:t xml:space="preserve"> </w:t>
      </w:r>
      <w:r w:rsidR="00FA2324">
        <w:rPr>
          <w:sz w:val="24"/>
        </w:rPr>
        <w:t xml:space="preserve">survey with only Order </w:t>
      </w:r>
      <w:r>
        <w:rPr>
          <w:sz w:val="24"/>
        </w:rPr>
        <w:t xml:space="preserve">and Enjoyment </w:t>
      </w:r>
      <w:r w:rsidR="00FA2324">
        <w:rPr>
          <w:sz w:val="24"/>
        </w:rPr>
        <w:t>showing small increase</w:t>
      </w:r>
      <w:r>
        <w:rPr>
          <w:sz w:val="24"/>
        </w:rPr>
        <w:t>s</w:t>
      </w:r>
      <w:r w:rsidR="00F21104">
        <w:rPr>
          <w:sz w:val="24"/>
        </w:rPr>
        <w:t xml:space="preserve">.  </w:t>
      </w:r>
      <w:r w:rsidR="00FA2324">
        <w:rPr>
          <w:sz w:val="24"/>
        </w:rPr>
        <w:t>None of the changes were l</w:t>
      </w:r>
      <w:r w:rsidR="00F21104">
        <w:rPr>
          <w:sz w:val="24"/>
        </w:rPr>
        <w:t xml:space="preserve">arge enough to be considered statistically significant.  </w:t>
      </w:r>
    </w:p>
    <w:p w:rsidR="00F21104" w:rsidRDefault="00F21104" w:rsidP="00EB6026">
      <w:pPr>
        <w:rPr>
          <w:sz w:val="24"/>
        </w:rPr>
      </w:pPr>
      <w:bookmarkStart w:id="0" w:name="_GoBack"/>
      <w:bookmarkEnd w:id="0"/>
    </w:p>
    <w:p w:rsidR="00F21104" w:rsidRDefault="001925D3" w:rsidP="00216243">
      <w:pPr>
        <w:jc w:val="center"/>
        <w:rPr>
          <w:noProof/>
          <w:lang w:eastAsia="en-GB"/>
        </w:rPr>
      </w:pPr>
      <w:r>
        <w:rPr>
          <w:noProof/>
          <w:lang w:eastAsia="en-GB"/>
        </w:rPr>
        <w:lastRenderedPageBreak/>
        <w:drawing>
          <wp:inline distT="0" distB="0" distL="0" distR="0" wp14:anchorId="7B57E19F" wp14:editId="75778892">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en-GB"/>
        </w:rPr>
        <w:t xml:space="preserve"> </w:t>
      </w:r>
      <w:r>
        <w:rPr>
          <w:noProof/>
          <w:lang w:eastAsia="en-GB"/>
        </w:rPr>
        <w:drawing>
          <wp:inline distT="0" distB="0" distL="0" distR="0" wp14:anchorId="05BF33F7" wp14:editId="13394600">
            <wp:extent cx="4572000" cy="2443163"/>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en-GB"/>
        </w:rPr>
        <w:t xml:space="preserve"> </w:t>
      </w:r>
    </w:p>
    <w:p w:rsidR="00F16D5C" w:rsidRDefault="00F16D5C" w:rsidP="00F16D5C">
      <w:pPr>
        <w:rPr>
          <w:sz w:val="24"/>
        </w:rPr>
      </w:pPr>
    </w:p>
    <w:p w:rsidR="00F16D5C" w:rsidRDefault="001925D3" w:rsidP="00F16D5C">
      <w:pPr>
        <w:rPr>
          <w:noProof/>
          <w:lang w:eastAsia="en-GB"/>
        </w:rPr>
      </w:pPr>
      <w:r>
        <w:rPr>
          <w:noProof/>
          <w:lang w:eastAsia="en-GB"/>
        </w:rPr>
        <w:drawing>
          <wp:inline distT="0" distB="0" distL="0" distR="0" wp14:anchorId="2AA09D3A" wp14:editId="6EBC79E8">
            <wp:extent cx="5943600" cy="2552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en-GB"/>
        </w:rPr>
        <w:t xml:space="preserve"> </w:t>
      </w:r>
      <w:r w:rsidR="00F21104">
        <w:rPr>
          <w:noProof/>
          <w:lang w:eastAsia="en-GB"/>
        </w:rPr>
        <w:t xml:space="preserve"> </w:t>
      </w:r>
    </w:p>
    <w:p w:rsidR="00F16D5C" w:rsidRDefault="00F16D5C" w:rsidP="00F16D5C">
      <w:pPr>
        <w:rPr>
          <w:b/>
          <w:sz w:val="24"/>
        </w:rPr>
      </w:pPr>
    </w:p>
    <w:p w:rsidR="00F16D5C" w:rsidRDefault="00F16D5C" w:rsidP="00F16D5C">
      <w:pPr>
        <w:rPr>
          <w:sz w:val="24"/>
        </w:rPr>
      </w:pPr>
      <w:r>
        <w:rPr>
          <w:sz w:val="24"/>
        </w:rPr>
        <w:lastRenderedPageBreak/>
        <w:t xml:space="preserve">Six of the eight attributes had shown a rise in the previous survey, and it is possible that this rise and fall may be evidence of a seasonal effect.  Only Safety has shown consecutive falls, leaving this attribute with a lower rating in the March 2019 survey than 12 months before.  Enjoyment is the only attribute to show consecutive rises, so is now rated higher than in March 2018, although still the lowest-rated of the eight attributes.  In both cases, the changes are too small to be </w:t>
      </w:r>
      <w:proofErr w:type="gramStart"/>
      <w:r>
        <w:rPr>
          <w:sz w:val="24"/>
        </w:rPr>
        <w:t>considered  statistically</w:t>
      </w:r>
      <w:proofErr w:type="gramEnd"/>
      <w:r>
        <w:rPr>
          <w:sz w:val="24"/>
        </w:rPr>
        <w:t xml:space="preserve"> significant.  </w:t>
      </w:r>
    </w:p>
    <w:p w:rsidR="00216243" w:rsidRPr="00D96709" w:rsidRDefault="000B563E" w:rsidP="00F16D5C">
      <w:pPr>
        <w:rPr>
          <w:b/>
          <w:sz w:val="24"/>
        </w:rPr>
      </w:pPr>
      <w:r w:rsidRPr="00D96709">
        <w:rPr>
          <w:b/>
          <w:sz w:val="24"/>
        </w:rPr>
        <w:t xml:space="preserve">Discussion </w:t>
      </w:r>
    </w:p>
    <w:p w:rsidR="000B563E" w:rsidRDefault="00C3666F" w:rsidP="00216243">
      <w:pPr>
        <w:rPr>
          <w:sz w:val="24"/>
        </w:rPr>
      </w:pPr>
      <w:r>
        <w:rPr>
          <w:sz w:val="24"/>
        </w:rPr>
        <w:t>Board/Committee m</w:t>
      </w:r>
      <w:r w:rsidR="000B563E" w:rsidRPr="000B563E">
        <w:rPr>
          <w:sz w:val="24"/>
        </w:rPr>
        <w:t xml:space="preserve">embers and staff continue to agree that Hafod is focused on Learning and Purpose.  </w:t>
      </w:r>
      <w:proofErr w:type="spellStart"/>
      <w:r w:rsidR="000B563E" w:rsidRPr="009C553E">
        <w:rPr>
          <w:sz w:val="24"/>
        </w:rPr>
        <w:t>Groysberg</w:t>
      </w:r>
      <w:proofErr w:type="spellEnd"/>
      <w:r w:rsidR="000B563E" w:rsidRPr="000B563E">
        <w:rPr>
          <w:i/>
          <w:sz w:val="24"/>
        </w:rPr>
        <w:t xml:space="preserve"> et al</w:t>
      </w:r>
      <w:r w:rsidR="000B563E">
        <w:rPr>
          <w:sz w:val="24"/>
        </w:rPr>
        <w:t xml:space="preserve"> consider these values to be held by organisations that </w:t>
      </w:r>
      <w:r w:rsidR="000B563E" w:rsidRPr="000B563E">
        <w:rPr>
          <w:sz w:val="24"/>
        </w:rPr>
        <w:t>emphasise flexibility, adaptability and receptiveness to change</w:t>
      </w:r>
      <w:r w:rsidR="000B563E">
        <w:rPr>
          <w:sz w:val="24"/>
        </w:rPr>
        <w:t xml:space="preserve">, which would seem appropriate for an organisation undergoing a change journey such as </w:t>
      </w:r>
      <w:proofErr w:type="spellStart"/>
      <w:r w:rsidR="000B563E">
        <w:rPr>
          <w:sz w:val="24"/>
        </w:rPr>
        <w:t>Hafod’s</w:t>
      </w:r>
      <w:proofErr w:type="spellEnd"/>
      <w:r w:rsidR="000B563E">
        <w:rPr>
          <w:sz w:val="24"/>
        </w:rPr>
        <w:t xml:space="preserve">.  They also note that convergence between staff and Board ratings indicate more stable organisational cultures.  </w:t>
      </w:r>
    </w:p>
    <w:p w:rsidR="000B563E" w:rsidRDefault="000B563E" w:rsidP="00216243">
      <w:pPr>
        <w:rPr>
          <w:sz w:val="24"/>
        </w:rPr>
      </w:pPr>
      <w:r>
        <w:rPr>
          <w:sz w:val="24"/>
        </w:rPr>
        <w:t>Since the first survey was carried out in March</w:t>
      </w:r>
      <w:r w:rsidR="00D96709">
        <w:rPr>
          <w:sz w:val="24"/>
        </w:rPr>
        <w:t>,</w:t>
      </w:r>
      <w:r>
        <w:rPr>
          <w:sz w:val="24"/>
        </w:rPr>
        <w:t xml:space="preserve"> the </w:t>
      </w:r>
      <w:r w:rsidR="00773A1C">
        <w:rPr>
          <w:sz w:val="24"/>
        </w:rPr>
        <w:t>rationalization</w:t>
      </w:r>
      <w:r>
        <w:rPr>
          <w:sz w:val="24"/>
        </w:rPr>
        <w:t xml:space="preserve"> of the </w:t>
      </w:r>
      <w:proofErr w:type="spellStart"/>
      <w:r>
        <w:rPr>
          <w:sz w:val="24"/>
        </w:rPr>
        <w:t>Hendre</w:t>
      </w:r>
      <w:proofErr w:type="spellEnd"/>
      <w:r>
        <w:rPr>
          <w:sz w:val="24"/>
        </w:rPr>
        <w:t xml:space="preserve"> group structure and reformation of a single Hafod board, with new Board </w:t>
      </w:r>
      <w:r w:rsidR="00C3666F">
        <w:rPr>
          <w:sz w:val="24"/>
        </w:rPr>
        <w:t xml:space="preserve">and Committee </w:t>
      </w:r>
      <w:r>
        <w:rPr>
          <w:sz w:val="24"/>
        </w:rPr>
        <w:t xml:space="preserve">members, has potentially contributed to high Purpose scores.  </w:t>
      </w:r>
      <w:r w:rsidR="00D96709">
        <w:rPr>
          <w:sz w:val="24"/>
        </w:rPr>
        <w:t xml:space="preserve">The high ratings for Learning may have been influenced by the </w:t>
      </w:r>
      <w:proofErr w:type="spellStart"/>
      <w:r w:rsidR="00D96709">
        <w:rPr>
          <w:sz w:val="24"/>
        </w:rPr>
        <w:t>relaunched</w:t>
      </w:r>
      <w:proofErr w:type="spellEnd"/>
      <w:r w:rsidR="00D96709">
        <w:rPr>
          <w:sz w:val="24"/>
        </w:rPr>
        <w:t xml:space="preserve"> PDR </w:t>
      </w:r>
      <w:r w:rsidR="00C3666F">
        <w:rPr>
          <w:sz w:val="24"/>
        </w:rPr>
        <w:t>process and e-learning facility</w:t>
      </w:r>
      <w:r w:rsidR="002A214F">
        <w:rPr>
          <w:sz w:val="24"/>
        </w:rPr>
        <w:t xml:space="preserve">, the launch of </w:t>
      </w:r>
      <w:proofErr w:type="spellStart"/>
      <w:r w:rsidR="002A214F">
        <w:rPr>
          <w:sz w:val="24"/>
        </w:rPr>
        <w:t>Academi</w:t>
      </w:r>
      <w:proofErr w:type="spellEnd"/>
      <w:r w:rsidR="002A214F">
        <w:rPr>
          <w:sz w:val="24"/>
        </w:rPr>
        <w:t xml:space="preserve"> </w:t>
      </w:r>
      <w:proofErr w:type="spellStart"/>
      <w:r w:rsidR="002A214F">
        <w:rPr>
          <w:sz w:val="24"/>
        </w:rPr>
        <w:t>Hafod</w:t>
      </w:r>
      <w:proofErr w:type="spellEnd"/>
      <w:r w:rsidR="002A214F">
        <w:rPr>
          <w:sz w:val="24"/>
        </w:rPr>
        <w:t xml:space="preserve"> and the recent drive to fill a range of work experience placements across the organisation</w:t>
      </w:r>
      <w:r w:rsidR="00D96709">
        <w:rPr>
          <w:sz w:val="24"/>
        </w:rPr>
        <w:t xml:space="preserve">.  </w:t>
      </w:r>
    </w:p>
    <w:p w:rsidR="002A214F" w:rsidRDefault="00F1768D" w:rsidP="00F1768D">
      <w:pPr>
        <w:rPr>
          <w:sz w:val="24"/>
        </w:rPr>
      </w:pPr>
      <w:proofErr w:type="spellStart"/>
      <w:r>
        <w:rPr>
          <w:sz w:val="24"/>
        </w:rPr>
        <w:t>Groysberg</w:t>
      </w:r>
      <w:proofErr w:type="spellEnd"/>
      <w:r>
        <w:rPr>
          <w:sz w:val="24"/>
        </w:rPr>
        <w:t xml:space="preserve"> </w:t>
      </w:r>
      <w:r w:rsidRPr="001664B7">
        <w:rPr>
          <w:i/>
          <w:sz w:val="24"/>
        </w:rPr>
        <w:t>et al</w:t>
      </w:r>
      <w:r>
        <w:rPr>
          <w:sz w:val="24"/>
        </w:rPr>
        <w:t xml:space="preserve"> ascribe both advantages and disadvantages to each of the eight attributes, when featured strongly in an organisation’s culture</w:t>
      </w:r>
      <w:r w:rsidR="00773A1C">
        <w:rPr>
          <w:sz w:val="24"/>
        </w:rPr>
        <w:t>.  T</w:t>
      </w:r>
      <w:r>
        <w:rPr>
          <w:sz w:val="24"/>
        </w:rPr>
        <w:t>hese are outlined in Table 3 overleaf</w:t>
      </w:r>
      <w:r w:rsidR="00773A1C">
        <w:rPr>
          <w:sz w:val="24"/>
        </w:rPr>
        <w:t xml:space="preserve">, which lists each attribute in order of the scores given to it by </w:t>
      </w:r>
      <w:proofErr w:type="spellStart"/>
      <w:r w:rsidR="00773A1C">
        <w:rPr>
          <w:sz w:val="24"/>
        </w:rPr>
        <w:t>Hafod</w:t>
      </w:r>
      <w:proofErr w:type="spellEnd"/>
      <w:r w:rsidR="00773A1C">
        <w:rPr>
          <w:sz w:val="24"/>
        </w:rPr>
        <w:t xml:space="preserve"> Board/Committee Members and staff</w:t>
      </w:r>
      <w:r>
        <w:rPr>
          <w:sz w:val="24"/>
        </w:rPr>
        <w:t xml:space="preserve">.  The continued high figures for Learning and Purpose suggest a culture with an appreciation for innovation and social responsibility, but </w:t>
      </w:r>
      <w:proofErr w:type="spellStart"/>
      <w:r>
        <w:rPr>
          <w:sz w:val="24"/>
        </w:rPr>
        <w:t>Groysberg</w:t>
      </w:r>
      <w:proofErr w:type="spellEnd"/>
      <w:r>
        <w:rPr>
          <w:sz w:val="24"/>
        </w:rPr>
        <w:t xml:space="preserve"> </w:t>
      </w:r>
      <w:r w:rsidRPr="003160BD">
        <w:rPr>
          <w:i/>
          <w:sz w:val="24"/>
        </w:rPr>
        <w:t>et al</w:t>
      </w:r>
      <w:r>
        <w:rPr>
          <w:sz w:val="24"/>
        </w:rPr>
        <w:t xml:space="preserve"> warn that practical concerns and existing advantages may be missed by an overemphasis on exploration and long-term goals.  It is possible that this may be balanced by the comparatively high scores for Authority, which has broadly complementary advantages and disadvantages.  </w:t>
      </w:r>
    </w:p>
    <w:p w:rsidR="00F1768D" w:rsidRDefault="002A214F" w:rsidP="00F1768D">
      <w:pPr>
        <w:rPr>
          <w:sz w:val="24"/>
        </w:rPr>
      </w:pPr>
      <w:r>
        <w:rPr>
          <w:sz w:val="24"/>
        </w:rPr>
        <w:t xml:space="preserve">The </w:t>
      </w:r>
      <w:r w:rsidR="00FA2324">
        <w:rPr>
          <w:sz w:val="24"/>
        </w:rPr>
        <w:t>low</w:t>
      </w:r>
      <w:r>
        <w:rPr>
          <w:sz w:val="24"/>
        </w:rPr>
        <w:t xml:space="preserve"> scores for Safety and Order</w:t>
      </w:r>
      <w:r w:rsidR="00F1768D">
        <w:rPr>
          <w:sz w:val="24"/>
        </w:rPr>
        <w:t xml:space="preserve">, however, </w:t>
      </w:r>
      <w:r>
        <w:rPr>
          <w:sz w:val="24"/>
        </w:rPr>
        <w:t xml:space="preserve">may be interpreted as warning signs </w:t>
      </w:r>
      <w:r w:rsidR="00F1768D">
        <w:rPr>
          <w:sz w:val="24"/>
        </w:rPr>
        <w:t>of potential</w:t>
      </w:r>
      <w:r>
        <w:rPr>
          <w:sz w:val="24"/>
        </w:rPr>
        <w:t xml:space="preserve"> instability, conflict, and reduced risk management and operational efficiency, as the structure of the organisation continues to evolve</w:t>
      </w:r>
      <w:r w:rsidR="00F1768D">
        <w:rPr>
          <w:sz w:val="24"/>
        </w:rPr>
        <w:t xml:space="preserve">.  </w:t>
      </w:r>
      <w:r w:rsidR="00424C35">
        <w:rPr>
          <w:sz w:val="24"/>
        </w:rPr>
        <w:t xml:space="preserve">These are not to be unexpected in an organisation that is in the process of significant change, but should be borne in mind when seeking to provide assurance that </w:t>
      </w:r>
      <w:proofErr w:type="spellStart"/>
      <w:r w:rsidR="00424C35">
        <w:rPr>
          <w:sz w:val="24"/>
        </w:rPr>
        <w:t>Hafod’s</w:t>
      </w:r>
      <w:proofErr w:type="spellEnd"/>
      <w:r w:rsidR="00424C35">
        <w:rPr>
          <w:sz w:val="24"/>
        </w:rPr>
        <w:t xml:space="preserve"> vision of integrated services is being delivered.  </w:t>
      </w:r>
    </w:p>
    <w:p w:rsidR="00F1768D" w:rsidRDefault="00F1768D">
      <w:pPr>
        <w:rPr>
          <w:i/>
          <w:sz w:val="24"/>
        </w:rPr>
      </w:pPr>
      <w:r>
        <w:rPr>
          <w:sz w:val="24"/>
        </w:rPr>
        <w:t>The attribute given t</w:t>
      </w:r>
      <w:r w:rsidR="00C3666F">
        <w:rPr>
          <w:sz w:val="24"/>
        </w:rPr>
        <w:t>he lowest figures by both Board/Committee m</w:t>
      </w:r>
      <w:r>
        <w:rPr>
          <w:sz w:val="24"/>
        </w:rPr>
        <w:t xml:space="preserve">embers and staff was Enjoyment, as was the case in </w:t>
      </w:r>
      <w:r w:rsidR="002A214F">
        <w:rPr>
          <w:sz w:val="24"/>
        </w:rPr>
        <w:t>both previous</w:t>
      </w:r>
      <w:r>
        <w:rPr>
          <w:sz w:val="24"/>
        </w:rPr>
        <w:t xml:space="preserve"> survey</w:t>
      </w:r>
      <w:r w:rsidR="002A214F">
        <w:rPr>
          <w:sz w:val="24"/>
        </w:rPr>
        <w:t>s</w:t>
      </w:r>
      <w:r>
        <w:rPr>
          <w:sz w:val="24"/>
        </w:rPr>
        <w:t xml:space="preserve">.  This suggests that the organisation may be missing out on the advantages associated with this trait – high employee morale, engagement and creativity.  </w:t>
      </w:r>
    </w:p>
    <w:p w:rsidR="00F1768D" w:rsidRDefault="00F1768D" w:rsidP="00F1768D">
      <w:pPr>
        <w:jc w:val="center"/>
        <w:rPr>
          <w:i/>
          <w:sz w:val="24"/>
        </w:rPr>
      </w:pPr>
      <w:r w:rsidRPr="001664B7">
        <w:rPr>
          <w:i/>
          <w:sz w:val="24"/>
        </w:rPr>
        <w:lastRenderedPageBreak/>
        <w:t>Table 3: Advantages &amp; disadvantages</w:t>
      </w:r>
    </w:p>
    <w:tbl>
      <w:tblPr>
        <w:tblStyle w:val="TableGrid"/>
        <w:tblW w:w="0" w:type="auto"/>
        <w:tblLook w:val="04A0" w:firstRow="1" w:lastRow="0" w:firstColumn="1" w:lastColumn="0" w:noHBand="0" w:noVBand="1"/>
      </w:tblPr>
      <w:tblGrid>
        <w:gridCol w:w="858"/>
        <w:gridCol w:w="2521"/>
        <w:gridCol w:w="2621"/>
        <w:gridCol w:w="3242"/>
      </w:tblGrid>
      <w:tr w:rsidR="00773A1C" w:rsidRPr="001664B7" w:rsidTr="007718C8">
        <w:trPr>
          <w:cantSplit/>
          <w:tblHeader/>
        </w:trPr>
        <w:tc>
          <w:tcPr>
            <w:tcW w:w="858" w:type="dxa"/>
            <w:shd w:val="clear" w:color="auto" w:fill="000000" w:themeFill="text1"/>
            <w:vAlign w:val="center"/>
          </w:tcPr>
          <w:p w:rsidR="00773A1C" w:rsidRPr="001664B7" w:rsidRDefault="00773A1C" w:rsidP="007718C8">
            <w:pPr>
              <w:spacing w:before="60" w:after="60"/>
              <w:jc w:val="center"/>
              <w:rPr>
                <w:b/>
                <w:sz w:val="24"/>
              </w:rPr>
            </w:pPr>
            <w:r>
              <w:rPr>
                <w:b/>
                <w:sz w:val="24"/>
              </w:rPr>
              <w:t>Ave score</w:t>
            </w:r>
          </w:p>
        </w:tc>
        <w:tc>
          <w:tcPr>
            <w:tcW w:w="2521" w:type="dxa"/>
            <w:shd w:val="clear" w:color="auto" w:fill="000000" w:themeFill="text1"/>
            <w:vAlign w:val="center"/>
          </w:tcPr>
          <w:p w:rsidR="00773A1C" w:rsidRPr="001664B7" w:rsidRDefault="00773A1C" w:rsidP="007718C8">
            <w:pPr>
              <w:spacing w:before="60" w:after="60"/>
              <w:jc w:val="center"/>
              <w:rPr>
                <w:b/>
                <w:sz w:val="24"/>
              </w:rPr>
            </w:pPr>
            <w:r w:rsidRPr="001664B7">
              <w:rPr>
                <w:b/>
                <w:sz w:val="24"/>
              </w:rPr>
              <w:t>CULTURE STYLE</w:t>
            </w:r>
          </w:p>
        </w:tc>
        <w:tc>
          <w:tcPr>
            <w:tcW w:w="2621" w:type="dxa"/>
            <w:shd w:val="clear" w:color="auto" w:fill="000000" w:themeFill="text1"/>
            <w:vAlign w:val="center"/>
          </w:tcPr>
          <w:p w:rsidR="00773A1C" w:rsidRPr="001664B7" w:rsidRDefault="00773A1C" w:rsidP="007718C8">
            <w:pPr>
              <w:spacing w:before="60" w:after="60"/>
              <w:jc w:val="center"/>
              <w:rPr>
                <w:b/>
                <w:sz w:val="24"/>
              </w:rPr>
            </w:pPr>
            <w:r w:rsidRPr="001664B7">
              <w:rPr>
                <w:b/>
                <w:sz w:val="24"/>
              </w:rPr>
              <w:t>ADVANTAGES</w:t>
            </w:r>
          </w:p>
        </w:tc>
        <w:tc>
          <w:tcPr>
            <w:tcW w:w="3242" w:type="dxa"/>
            <w:shd w:val="clear" w:color="auto" w:fill="000000" w:themeFill="text1"/>
            <w:vAlign w:val="center"/>
          </w:tcPr>
          <w:p w:rsidR="00773A1C" w:rsidRPr="001664B7" w:rsidRDefault="00773A1C" w:rsidP="007718C8">
            <w:pPr>
              <w:spacing w:before="60" w:after="60"/>
              <w:jc w:val="center"/>
              <w:rPr>
                <w:b/>
                <w:sz w:val="24"/>
              </w:rPr>
            </w:pPr>
            <w:r w:rsidRPr="001664B7">
              <w:rPr>
                <w:b/>
                <w:sz w:val="24"/>
              </w:rPr>
              <w:t>DISADVANTAGES</w:t>
            </w:r>
          </w:p>
        </w:tc>
      </w:tr>
      <w:tr w:rsidR="00773A1C" w:rsidRPr="001664B7" w:rsidTr="007718C8">
        <w:trPr>
          <w:cantSplit/>
        </w:trPr>
        <w:tc>
          <w:tcPr>
            <w:tcW w:w="858" w:type="dxa"/>
            <w:shd w:val="clear" w:color="auto" w:fill="EAF1DD" w:themeFill="accent3" w:themeFillTint="33"/>
            <w:vAlign w:val="center"/>
          </w:tcPr>
          <w:p w:rsidR="00773A1C" w:rsidRPr="00441C5A" w:rsidRDefault="00773A1C" w:rsidP="007718C8">
            <w:pPr>
              <w:jc w:val="center"/>
              <w:rPr>
                <w:rFonts w:cs="Arial"/>
                <w:b/>
                <w:color w:val="000000"/>
                <w:sz w:val="24"/>
              </w:rPr>
            </w:pPr>
            <w:r w:rsidRPr="00441C5A">
              <w:rPr>
                <w:rFonts w:cs="Arial"/>
                <w:b/>
                <w:color w:val="000000"/>
                <w:sz w:val="24"/>
              </w:rPr>
              <w:t>7.0</w:t>
            </w:r>
          </w:p>
        </w:tc>
        <w:tc>
          <w:tcPr>
            <w:tcW w:w="2521" w:type="dxa"/>
            <w:shd w:val="clear" w:color="auto" w:fill="EAF1DD" w:themeFill="accent3" w:themeFillTint="33"/>
          </w:tcPr>
          <w:p w:rsidR="00773A1C" w:rsidRPr="001664B7" w:rsidRDefault="00773A1C" w:rsidP="007718C8">
            <w:pPr>
              <w:spacing w:before="60" w:after="60"/>
              <w:jc w:val="center"/>
              <w:rPr>
                <w:b/>
                <w:sz w:val="24"/>
              </w:rPr>
            </w:pPr>
            <w:r w:rsidRPr="001664B7">
              <w:rPr>
                <w:b/>
                <w:sz w:val="24"/>
              </w:rPr>
              <w:t>Learning</w:t>
            </w:r>
          </w:p>
          <w:p w:rsidR="00773A1C" w:rsidRPr="001664B7" w:rsidRDefault="00773A1C" w:rsidP="007718C8">
            <w:pPr>
              <w:spacing w:before="60" w:after="60"/>
              <w:jc w:val="center"/>
              <w:rPr>
                <w:sz w:val="20"/>
              </w:rPr>
            </w:pPr>
            <w:r w:rsidRPr="001664B7">
              <w:rPr>
                <w:sz w:val="20"/>
              </w:rPr>
              <w:t>Open, innovative, exploring</w:t>
            </w:r>
          </w:p>
        </w:tc>
        <w:tc>
          <w:tcPr>
            <w:tcW w:w="2621"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Improved innovation, agility, and organisational learning</w:t>
            </w:r>
          </w:p>
        </w:tc>
        <w:tc>
          <w:tcPr>
            <w:tcW w:w="3242"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Overemphasis on exploration may lead to a lack of focus and an inability to exploit existing advantages</w:t>
            </w:r>
          </w:p>
        </w:tc>
      </w:tr>
      <w:tr w:rsidR="00773A1C" w:rsidRPr="001664B7" w:rsidTr="007718C8">
        <w:trPr>
          <w:cantSplit/>
        </w:trPr>
        <w:tc>
          <w:tcPr>
            <w:tcW w:w="858" w:type="dxa"/>
            <w:shd w:val="clear" w:color="auto" w:fill="EAF1DD" w:themeFill="accent3" w:themeFillTint="33"/>
            <w:vAlign w:val="center"/>
          </w:tcPr>
          <w:p w:rsidR="00773A1C" w:rsidRPr="00441C5A" w:rsidRDefault="00773A1C" w:rsidP="007718C8">
            <w:pPr>
              <w:jc w:val="center"/>
              <w:rPr>
                <w:rFonts w:cs="Arial"/>
                <w:b/>
                <w:color w:val="000000"/>
                <w:sz w:val="24"/>
              </w:rPr>
            </w:pPr>
            <w:r w:rsidRPr="00441C5A">
              <w:rPr>
                <w:rFonts w:cs="Arial"/>
                <w:b/>
                <w:color w:val="000000"/>
                <w:sz w:val="24"/>
              </w:rPr>
              <w:t>6.8</w:t>
            </w:r>
          </w:p>
        </w:tc>
        <w:tc>
          <w:tcPr>
            <w:tcW w:w="2521" w:type="dxa"/>
            <w:shd w:val="clear" w:color="auto" w:fill="EAF1DD" w:themeFill="accent3" w:themeFillTint="33"/>
          </w:tcPr>
          <w:p w:rsidR="00773A1C" w:rsidRPr="001664B7" w:rsidRDefault="00773A1C" w:rsidP="007718C8">
            <w:pPr>
              <w:spacing w:before="60" w:after="60"/>
              <w:jc w:val="center"/>
              <w:rPr>
                <w:b/>
                <w:sz w:val="24"/>
              </w:rPr>
            </w:pPr>
            <w:r w:rsidRPr="001664B7">
              <w:rPr>
                <w:b/>
                <w:sz w:val="24"/>
              </w:rPr>
              <w:t>Purpose</w:t>
            </w:r>
          </w:p>
          <w:p w:rsidR="00773A1C" w:rsidRPr="001664B7" w:rsidRDefault="00773A1C" w:rsidP="007718C8">
            <w:pPr>
              <w:spacing w:before="60" w:after="60"/>
              <w:jc w:val="center"/>
              <w:rPr>
                <w:sz w:val="20"/>
              </w:rPr>
            </w:pPr>
            <w:r w:rsidRPr="001664B7">
              <w:rPr>
                <w:sz w:val="20"/>
              </w:rPr>
              <w:t>Purpose driven, idealistic, tolerant</w:t>
            </w:r>
          </w:p>
        </w:tc>
        <w:tc>
          <w:tcPr>
            <w:tcW w:w="2621"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Improved appreciation for diversity, sustainability, and social responsibility</w:t>
            </w:r>
          </w:p>
        </w:tc>
        <w:tc>
          <w:tcPr>
            <w:tcW w:w="3242"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Overemphasis on a long-term purpose and ideals may get in the way of practical and immediate concerns</w:t>
            </w:r>
          </w:p>
        </w:tc>
      </w:tr>
      <w:tr w:rsidR="00773A1C" w:rsidRPr="001664B7" w:rsidTr="007718C8">
        <w:trPr>
          <w:cantSplit/>
        </w:trPr>
        <w:tc>
          <w:tcPr>
            <w:tcW w:w="858" w:type="dxa"/>
            <w:shd w:val="clear" w:color="auto" w:fill="EAF1DD" w:themeFill="accent3" w:themeFillTint="33"/>
            <w:vAlign w:val="center"/>
          </w:tcPr>
          <w:p w:rsidR="00773A1C" w:rsidRPr="00441C5A" w:rsidRDefault="00773A1C" w:rsidP="007718C8">
            <w:pPr>
              <w:jc w:val="center"/>
              <w:rPr>
                <w:rFonts w:cs="Arial"/>
                <w:b/>
                <w:color w:val="000000"/>
                <w:sz w:val="24"/>
              </w:rPr>
            </w:pPr>
            <w:r w:rsidRPr="00441C5A">
              <w:rPr>
                <w:rFonts w:cs="Arial"/>
                <w:b/>
                <w:color w:val="000000"/>
                <w:sz w:val="24"/>
              </w:rPr>
              <w:t>6.7</w:t>
            </w:r>
          </w:p>
        </w:tc>
        <w:tc>
          <w:tcPr>
            <w:tcW w:w="2521" w:type="dxa"/>
            <w:shd w:val="clear" w:color="auto" w:fill="EAF1DD" w:themeFill="accent3" w:themeFillTint="33"/>
          </w:tcPr>
          <w:p w:rsidR="00773A1C" w:rsidRPr="001664B7" w:rsidRDefault="00773A1C" w:rsidP="007718C8">
            <w:pPr>
              <w:spacing w:before="60" w:after="60"/>
              <w:jc w:val="center"/>
              <w:rPr>
                <w:b/>
                <w:sz w:val="24"/>
              </w:rPr>
            </w:pPr>
            <w:r w:rsidRPr="001664B7">
              <w:rPr>
                <w:b/>
                <w:sz w:val="24"/>
              </w:rPr>
              <w:t>Authority</w:t>
            </w:r>
          </w:p>
          <w:p w:rsidR="00773A1C" w:rsidRPr="001664B7" w:rsidRDefault="00773A1C" w:rsidP="007718C8">
            <w:pPr>
              <w:spacing w:before="60" w:after="60"/>
              <w:jc w:val="center"/>
              <w:rPr>
                <w:sz w:val="20"/>
              </w:rPr>
            </w:pPr>
            <w:r w:rsidRPr="001664B7">
              <w:rPr>
                <w:sz w:val="20"/>
              </w:rPr>
              <w:t>Bold, decisive, dominant</w:t>
            </w:r>
          </w:p>
        </w:tc>
        <w:tc>
          <w:tcPr>
            <w:tcW w:w="2621"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Improved speed of decision making and responsiveness to threats or crises</w:t>
            </w:r>
          </w:p>
        </w:tc>
        <w:tc>
          <w:tcPr>
            <w:tcW w:w="3242"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Overemphasis on strong authority and bold decision making may lead to politics, conflict, and a psychologically unsafe work environment</w:t>
            </w:r>
          </w:p>
        </w:tc>
      </w:tr>
      <w:tr w:rsidR="00773A1C" w:rsidRPr="001664B7" w:rsidTr="007718C8">
        <w:trPr>
          <w:cantSplit/>
        </w:trPr>
        <w:tc>
          <w:tcPr>
            <w:tcW w:w="858" w:type="dxa"/>
            <w:shd w:val="clear" w:color="auto" w:fill="FFFF99"/>
            <w:vAlign w:val="center"/>
          </w:tcPr>
          <w:p w:rsidR="00773A1C" w:rsidRPr="00441C5A" w:rsidRDefault="00773A1C" w:rsidP="007718C8">
            <w:pPr>
              <w:jc w:val="center"/>
              <w:rPr>
                <w:rFonts w:cs="Arial"/>
                <w:b/>
                <w:color w:val="000000"/>
                <w:sz w:val="24"/>
              </w:rPr>
            </w:pPr>
            <w:r w:rsidRPr="00441C5A">
              <w:rPr>
                <w:rFonts w:cs="Arial"/>
                <w:b/>
                <w:color w:val="000000"/>
                <w:sz w:val="24"/>
              </w:rPr>
              <w:t>6.5</w:t>
            </w:r>
          </w:p>
        </w:tc>
        <w:tc>
          <w:tcPr>
            <w:tcW w:w="2521" w:type="dxa"/>
            <w:shd w:val="clear" w:color="auto" w:fill="FFFF99"/>
          </w:tcPr>
          <w:p w:rsidR="00773A1C" w:rsidRPr="001664B7" w:rsidRDefault="00773A1C" w:rsidP="007718C8">
            <w:pPr>
              <w:spacing w:before="60" w:after="60"/>
              <w:jc w:val="center"/>
              <w:rPr>
                <w:b/>
                <w:sz w:val="24"/>
              </w:rPr>
            </w:pPr>
            <w:r w:rsidRPr="001664B7">
              <w:rPr>
                <w:b/>
                <w:sz w:val="24"/>
              </w:rPr>
              <w:t>Caring</w:t>
            </w:r>
          </w:p>
          <w:p w:rsidR="00773A1C" w:rsidRPr="001664B7" w:rsidRDefault="00773A1C" w:rsidP="007718C8">
            <w:pPr>
              <w:spacing w:before="60" w:after="60"/>
              <w:jc w:val="center"/>
              <w:rPr>
                <w:sz w:val="20"/>
              </w:rPr>
            </w:pPr>
            <w:r w:rsidRPr="001664B7">
              <w:rPr>
                <w:sz w:val="20"/>
              </w:rPr>
              <w:t>Warm, sincere, relational</w:t>
            </w:r>
          </w:p>
        </w:tc>
        <w:tc>
          <w:tcPr>
            <w:tcW w:w="2621" w:type="dxa"/>
            <w:shd w:val="clear" w:color="auto" w:fill="FFFF99"/>
            <w:vAlign w:val="center"/>
          </w:tcPr>
          <w:p w:rsidR="00773A1C" w:rsidRPr="001664B7" w:rsidRDefault="00773A1C" w:rsidP="007718C8">
            <w:pPr>
              <w:spacing w:before="60" w:after="60"/>
              <w:jc w:val="center"/>
              <w:rPr>
                <w:sz w:val="20"/>
              </w:rPr>
            </w:pPr>
            <w:r w:rsidRPr="001664B7">
              <w:rPr>
                <w:sz w:val="20"/>
              </w:rPr>
              <w:t>Improved teamwork, engagement, communication, trust, and sense of belonging</w:t>
            </w:r>
          </w:p>
        </w:tc>
        <w:tc>
          <w:tcPr>
            <w:tcW w:w="3242" w:type="dxa"/>
            <w:shd w:val="clear" w:color="auto" w:fill="FFFF99"/>
            <w:vAlign w:val="center"/>
          </w:tcPr>
          <w:p w:rsidR="00773A1C" w:rsidRPr="001664B7" w:rsidRDefault="00773A1C" w:rsidP="007718C8">
            <w:pPr>
              <w:spacing w:before="60" w:after="60"/>
              <w:jc w:val="center"/>
              <w:rPr>
                <w:sz w:val="20"/>
              </w:rPr>
            </w:pPr>
            <w:r w:rsidRPr="001664B7">
              <w:rPr>
                <w:sz w:val="20"/>
              </w:rPr>
              <w:t>Overemphasis on consensus building may reduce exploration of options, stifle competitiveness, and slow decision making</w:t>
            </w:r>
          </w:p>
        </w:tc>
      </w:tr>
      <w:tr w:rsidR="00773A1C" w:rsidRPr="001664B7" w:rsidTr="007718C8">
        <w:trPr>
          <w:cantSplit/>
        </w:trPr>
        <w:tc>
          <w:tcPr>
            <w:tcW w:w="858" w:type="dxa"/>
            <w:shd w:val="clear" w:color="auto" w:fill="FFFF99"/>
            <w:vAlign w:val="center"/>
          </w:tcPr>
          <w:p w:rsidR="00773A1C" w:rsidRPr="00441C5A" w:rsidRDefault="00773A1C" w:rsidP="007718C8">
            <w:pPr>
              <w:jc w:val="center"/>
              <w:rPr>
                <w:rFonts w:cs="Arial"/>
                <w:b/>
                <w:color w:val="000000"/>
                <w:sz w:val="24"/>
              </w:rPr>
            </w:pPr>
            <w:r w:rsidRPr="00441C5A">
              <w:rPr>
                <w:rFonts w:cs="Arial"/>
                <w:b/>
                <w:color w:val="000000"/>
                <w:sz w:val="24"/>
              </w:rPr>
              <w:t>6.5</w:t>
            </w:r>
          </w:p>
        </w:tc>
        <w:tc>
          <w:tcPr>
            <w:tcW w:w="2521" w:type="dxa"/>
            <w:shd w:val="clear" w:color="auto" w:fill="FFFF99"/>
          </w:tcPr>
          <w:p w:rsidR="00773A1C" w:rsidRPr="001664B7" w:rsidRDefault="00773A1C" w:rsidP="007718C8">
            <w:pPr>
              <w:spacing w:before="60" w:after="60"/>
              <w:jc w:val="center"/>
              <w:rPr>
                <w:b/>
                <w:sz w:val="24"/>
              </w:rPr>
            </w:pPr>
            <w:r w:rsidRPr="001664B7">
              <w:rPr>
                <w:b/>
                <w:sz w:val="24"/>
              </w:rPr>
              <w:t>Results</w:t>
            </w:r>
          </w:p>
          <w:p w:rsidR="00773A1C" w:rsidRPr="001664B7" w:rsidRDefault="00773A1C" w:rsidP="007718C8">
            <w:pPr>
              <w:spacing w:before="60" w:after="60"/>
              <w:jc w:val="center"/>
              <w:rPr>
                <w:sz w:val="20"/>
              </w:rPr>
            </w:pPr>
            <w:r w:rsidRPr="001664B7">
              <w:rPr>
                <w:sz w:val="20"/>
              </w:rPr>
              <w:t>Achievement driven, goal focussed</w:t>
            </w:r>
          </w:p>
        </w:tc>
        <w:tc>
          <w:tcPr>
            <w:tcW w:w="2621" w:type="dxa"/>
            <w:shd w:val="clear" w:color="auto" w:fill="FFFF99"/>
            <w:vAlign w:val="center"/>
          </w:tcPr>
          <w:p w:rsidR="00773A1C" w:rsidRPr="001664B7" w:rsidRDefault="00773A1C" w:rsidP="007718C8">
            <w:pPr>
              <w:spacing w:before="60" w:after="60"/>
              <w:jc w:val="center"/>
              <w:rPr>
                <w:sz w:val="20"/>
              </w:rPr>
            </w:pPr>
            <w:r w:rsidRPr="001664B7">
              <w:rPr>
                <w:sz w:val="20"/>
              </w:rPr>
              <w:t>Improved execution, external focus, capability building, and goal achievement</w:t>
            </w:r>
          </w:p>
        </w:tc>
        <w:tc>
          <w:tcPr>
            <w:tcW w:w="3242" w:type="dxa"/>
            <w:shd w:val="clear" w:color="auto" w:fill="FFFF99"/>
            <w:vAlign w:val="center"/>
          </w:tcPr>
          <w:p w:rsidR="00773A1C" w:rsidRPr="001664B7" w:rsidRDefault="00773A1C" w:rsidP="007718C8">
            <w:pPr>
              <w:spacing w:before="60" w:after="60"/>
              <w:jc w:val="center"/>
              <w:rPr>
                <w:sz w:val="20"/>
              </w:rPr>
            </w:pPr>
            <w:r w:rsidRPr="001664B7">
              <w:rPr>
                <w:sz w:val="20"/>
              </w:rPr>
              <w:t>Overemphasis on achieving results may lead to communication and collaboration breakdowns and higher levels of stress and anxiety</w:t>
            </w:r>
          </w:p>
        </w:tc>
      </w:tr>
      <w:tr w:rsidR="00773A1C" w:rsidRPr="001664B7" w:rsidTr="007718C8">
        <w:trPr>
          <w:cantSplit/>
        </w:trPr>
        <w:tc>
          <w:tcPr>
            <w:tcW w:w="858" w:type="dxa"/>
            <w:shd w:val="clear" w:color="auto" w:fill="F2DBDB" w:themeFill="accent2" w:themeFillTint="33"/>
            <w:vAlign w:val="center"/>
          </w:tcPr>
          <w:p w:rsidR="00773A1C" w:rsidRPr="00441C5A" w:rsidRDefault="00773A1C" w:rsidP="007718C8">
            <w:pPr>
              <w:jc w:val="center"/>
              <w:rPr>
                <w:rFonts w:cs="Arial"/>
                <w:b/>
                <w:color w:val="000000"/>
                <w:sz w:val="24"/>
              </w:rPr>
            </w:pPr>
            <w:r w:rsidRPr="00441C5A">
              <w:rPr>
                <w:rFonts w:cs="Arial"/>
                <w:b/>
                <w:color w:val="000000"/>
                <w:sz w:val="24"/>
              </w:rPr>
              <w:t>6.0</w:t>
            </w:r>
          </w:p>
        </w:tc>
        <w:tc>
          <w:tcPr>
            <w:tcW w:w="2521" w:type="dxa"/>
            <w:shd w:val="clear" w:color="auto" w:fill="F2DBDB" w:themeFill="accent2" w:themeFillTint="33"/>
          </w:tcPr>
          <w:p w:rsidR="00773A1C" w:rsidRPr="001664B7" w:rsidRDefault="00773A1C" w:rsidP="007718C8">
            <w:pPr>
              <w:spacing w:before="60" w:after="60"/>
              <w:jc w:val="center"/>
              <w:rPr>
                <w:b/>
                <w:sz w:val="24"/>
              </w:rPr>
            </w:pPr>
            <w:r w:rsidRPr="001664B7">
              <w:rPr>
                <w:b/>
                <w:sz w:val="24"/>
              </w:rPr>
              <w:t>Safety</w:t>
            </w:r>
          </w:p>
          <w:p w:rsidR="00773A1C" w:rsidRPr="001664B7" w:rsidRDefault="00773A1C" w:rsidP="007718C8">
            <w:pPr>
              <w:spacing w:before="60" w:after="60"/>
              <w:jc w:val="center"/>
              <w:rPr>
                <w:sz w:val="20"/>
              </w:rPr>
            </w:pPr>
            <w:r w:rsidRPr="001664B7">
              <w:rPr>
                <w:sz w:val="20"/>
              </w:rPr>
              <w:t>Realistic, careful, prepared</w:t>
            </w:r>
          </w:p>
        </w:tc>
        <w:tc>
          <w:tcPr>
            <w:tcW w:w="2621"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Improved risk management, stability, and business continuity</w:t>
            </w:r>
          </w:p>
        </w:tc>
        <w:tc>
          <w:tcPr>
            <w:tcW w:w="3242"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Overemphasis on standardisation and formalisation may lead to bureaucracy, inflexibility, and dehumanisation of the work environment</w:t>
            </w:r>
          </w:p>
        </w:tc>
      </w:tr>
      <w:tr w:rsidR="00773A1C" w:rsidRPr="001664B7" w:rsidTr="007718C8">
        <w:trPr>
          <w:cantSplit/>
        </w:trPr>
        <w:tc>
          <w:tcPr>
            <w:tcW w:w="858" w:type="dxa"/>
            <w:shd w:val="clear" w:color="auto" w:fill="F2DBDB" w:themeFill="accent2" w:themeFillTint="33"/>
            <w:vAlign w:val="center"/>
          </w:tcPr>
          <w:p w:rsidR="00773A1C" w:rsidRPr="00441C5A" w:rsidRDefault="00773A1C" w:rsidP="007718C8">
            <w:pPr>
              <w:jc w:val="center"/>
              <w:rPr>
                <w:rFonts w:cs="Arial"/>
                <w:b/>
                <w:color w:val="000000"/>
                <w:sz w:val="24"/>
              </w:rPr>
            </w:pPr>
            <w:r w:rsidRPr="00441C5A">
              <w:rPr>
                <w:rFonts w:cs="Arial"/>
                <w:b/>
                <w:color w:val="000000"/>
                <w:sz w:val="24"/>
              </w:rPr>
              <w:t>5.9</w:t>
            </w:r>
          </w:p>
        </w:tc>
        <w:tc>
          <w:tcPr>
            <w:tcW w:w="2521" w:type="dxa"/>
            <w:shd w:val="clear" w:color="auto" w:fill="F2DBDB" w:themeFill="accent2" w:themeFillTint="33"/>
          </w:tcPr>
          <w:p w:rsidR="00773A1C" w:rsidRPr="003160BD" w:rsidRDefault="00773A1C" w:rsidP="007718C8">
            <w:pPr>
              <w:spacing w:before="60" w:after="60"/>
              <w:jc w:val="center"/>
              <w:rPr>
                <w:b/>
                <w:sz w:val="24"/>
              </w:rPr>
            </w:pPr>
            <w:r w:rsidRPr="003160BD">
              <w:rPr>
                <w:b/>
                <w:sz w:val="24"/>
              </w:rPr>
              <w:t>Order</w:t>
            </w:r>
          </w:p>
          <w:p w:rsidR="00773A1C" w:rsidRPr="001664B7" w:rsidRDefault="00773A1C" w:rsidP="007718C8">
            <w:pPr>
              <w:spacing w:before="60" w:after="60"/>
              <w:jc w:val="center"/>
              <w:rPr>
                <w:sz w:val="20"/>
              </w:rPr>
            </w:pPr>
            <w:r w:rsidRPr="001664B7">
              <w:rPr>
                <w:sz w:val="20"/>
              </w:rPr>
              <w:t>Rule abiding, respectful, cooperative</w:t>
            </w:r>
          </w:p>
        </w:tc>
        <w:tc>
          <w:tcPr>
            <w:tcW w:w="2621"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Improved operational efficiency, reduced conflict, and greater civic-mindedness</w:t>
            </w:r>
          </w:p>
        </w:tc>
        <w:tc>
          <w:tcPr>
            <w:tcW w:w="3242"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Overemphasis on rules and traditions may reduce individualism, stifle creativity, and limit organisational agility</w:t>
            </w:r>
          </w:p>
        </w:tc>
      </w:tr>
      <w:tr w:rsidR="00773A1C" w:rsidRPr="001664B7" w:rsidTr="007718C8">
        <w:trPr>
          <w:cantSplit/>
        </w:trPr>
        <w:tc>
          <w:tcPr>
            <w:tcW w:w="858" w:type="dxa"/>
            <w:shd w:val="clear" w:color="auto" w:fill="F2DBDB" w:themeFill="accent2" w:themeFillTint="33"/>
            <w:vAlign w:val="center"/>
          </w:tcPr>
          <w:p w:rsidR="00773A1C" w:rsidRPr="00441C5A" w:rsidRDefault="00773A1C" w:rsidP="007718C8">
            <w:pPr>
              <w:jc w:val="center"/>
              <w:rPr>
                <w:rFonts w:cs="Arial"/>
                <w:b/>
                <w:color w:val="000000"/>
                <w:sz w:val="24"/>
              </w:rPr>
            </w:pPr>
            <w:r w:rsidRPr="00441C5A">
              <w:rPr>
                <w:rFonts w:cs="Arial"/>
                <w:b/>
                <w:color w:val="000000"/>
                <w:sz w:val="24"/>
              </w:rPr>
              <w:t>5.5</w:t>
            </w:r>
          </w:p>
        </w:tc>
        <w:tc>
          <w:tcPr>
            <w:tcW w:w="2521" w:type="dxa"/>
            <w:shd w:val="clear" w:color="auto" w:fill="F2DBDB" w:themeFill="accent2" w:themeFillTint="33"/>
          </w:tcPr>
          <w:p w:rsidR="00773A1C" w:rsidRPr="001664B7" w:rsidRDefault="00773A1C" w:rsidP="007718C8">
            <w:pPr>
              <w:spacing w:before="60" w:after="60"/>
              <w:jc w:val="center"/>
              <w:rPr>
                <w:b/>
                <w:sz w:val="24"/>
              </w:rPr>
            </w:pPr>
            <w:r w:rsidRPr="001664B7">
              <w:rPr>
                <w:b/>
                <w:sz w:val="24"/>
              </w:rPr>
              <w:t>Enjoyment</w:t>
            </w:r>
          </w:p>
          <w:p w:rsidR="00773A1C" w:rsidRPr="001664B7" w:rsidRDefault="00773A1C" w:rsidP="007718C8">
            <w:pPr>
              <w:spacing w:before="60" w:after="60"/>
              <w:jc w:val="center"/>
              <w:rPr>
                <w:sz w:val="20"/>
              </w:rPr>
            </w:pPr>
            <w:r w:rsidRPr="001664B7">
              <w:rPr>
                <w:sz w:val="20"/>
              </w:rPr>
              <w:t>Playful, instinctive, fun loving</w:t>
            </w:r>
          </w:p>
        </w:tc>
        <w:tc>
          <w:tcPr>
            <w:tcW w:w="2621"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Improved employee morale, engagement and creativity</w:t>
            </w:r>
          </w:p>
        </w:tc>
        <w:tc>
          <w:tcPr>
            <w:tcW w:w="3242"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Overemphasis on autonomy and engagement may lead to a lack of discipline and create possible compliance or governance issues</w:t>
            </w:r>
          </w:p>
        </w:tc>
      </w:tr>
    </w:tbl>
    <w:p w:rsidR="00773A1C" w:rsidRDefault="00773A1C" w:rsidP="00F1768D">
      <w:pPr>
        <w:jc w:val="center"/>
        <w:rPr>
          <w:i/>
          <w:sz w:val="24"/>
        </w:rPr>
      </w:pPr>
    </w:p>
    <w:p w:rsidR="00F16D5C" w:rsidRDefault="00F16D5C">
      <w:pPr>
        <w:rPr>
          <w:b/>
          <w:sz w:val="24"/>
        </w:rPr>
      </w:pPr>
      <w:r>
        <w:rPr>
          <w:b/>
          <w:sz w:val="24"/>
        </w:rPr>
        <w:br w:type="page"/>
      </w:r>
    </w:p>
    <w:p w:rsidR="00F1768D" w:rsidRPr="003160BD" w:rsidRDefault="00F1768D" w:rsidP="00F1768D">
      <w:pPr>
        <w:spacing w:before="240"/>
        <w:rPr>
          <w:b/>
          <w:sz w:val="24"/>
        </w:rPr>
      </w:pPr>
      <w:r w:rsidRPr="003160BD">
        <w:rPr>
          <w:b/>
          <w:sz w:val="24"/>
        </w:rPr>
        <w:lastRenderedPageBreak/>
        <w:t>Conclusions</w:t>
      </w:r>
    </w:p>
    <w:p w:rsidR="00F16D5C" w:rsidRDefault="00F1768D" w:rsidP="00216243">
      <w:pPr>
        <w:rPr>
          <w:sz w:val="24"/>
        </w:rPr>
      </w:pPr>
      <w:r>
        <w:rPr>
          <w:sz w:val="24"/>
        </w:rPr>
        <w:t xml:space="preserve">This </w:t>
      </w:r>
      <w:r w:rsidR="002A214F">
        <w:rPr>
          <w:sz w:val="24"/>
        </w:rPr>
        <w:t>third</w:t>
      </w:r>
      <w:r>
        <w:rPr>
          <w:sz w:val="24"/>
        </w:rPr>
        <w:t xml:space="preserve"> iteration of the organisational cultural profile survey suggests that Hafod continues to be focused on Purpos</w:t>
      </w:r>
      <w:r w:rsidR="002A214F">
        <w:rPr>
          <w:sz w:val="24"/>
        </w:rPr>
        <w:t xml:space="preserve">e and Learning, with Authority </w:t>
      </w:r>
      <w:r>
        <w:rPr>
          <w:sz w:val="24"/>
        </w:rPr>
        <w:t xml:space="preserve">and Results being lesser, but important elements.  </w:t>
      </w:r>
      <w:r w:rsidR="00FA2324">
        <w:rPr>
          <w:sz w:val="24"/>
        </w:rPr>
        <w:t>Low</w:t>
      </w:r>
      <w:r w:rsidR="00C3666F">
        <w:rPr>
          <w:sz w:val="24"/>
        </w:rPr>
        <w:t xml:space="preserve"> scores for Safety and Order should be monitored, however.  </w:t>
      </w:r>
    </w:p>
    <w:p w:rsidR="0024491E" w:rsidRDefault="00F16D5C" w:rsidP="00216243">
      <w:pPr>
        <w:rPr>
          <w:sz w:val="24"/>
        </w:rPr>
      </w:pPr>
      <w:proofErr w:type="spellStart"/>
      <w:r>
        <w:rPr>
          <w:sz w:val="24"/>
        </w:rPr>
        <w:t>Groysberg</w:t>
      </w:r>
      <w:proofErr w:type="spellEnd"/>
      <w:r>
        <w:rPr>
          <w:sz w:val="24"/>
        </w:rPr>
        <w:t xml:space="preserve"> </w:t>
      </w:r>
      <w:r w:rsidRPr="00F16D5C">
        <w:rPr>
          <w:i/>
          <w:sz w:val="24"/>
        </w:rPr>
        <w:t>et al</w:t>
      </w:r>
      <w:r>
        <w:rPr>
          <w:sz w:val="24"/>
        </w:rPr>
        <w:t xml:space="preserve"> suggest that cultures focused on Learning and Purpose </w:t>
      </w:r>
      <w:proofErr w:type="gramStart"/>
      <w:r>
        <w:rPr>
          <w:sz w:val="24"/>
        </w:rPr>
        <w:t>are</w:t>
      </w:r>
      <w:proofErr w:type="gramEnd"/>
      <w:r>
        <w:rPr>
          <w:sz w:val="24"/>
        </w:rPr>
        <w:t xml:space="preserve"> characteristic of organisations with a high degree of flexibility in response to change, as illustrated in the diagram below.  </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5886"/>
        <w:gridCol w:w="553"/>
      </w:tblGrid>
      <w:tr w:rsidR="00F16D5C" w:rsidRPr="00E5676C" w:rsidTr="007718C8">
        <w:tc>
          <w:tcPr>
            <w:tcW w:w="577" w:type="dxa"/>
          </w:tcPr>
          <w:p w:rsidR="00F16D5C" w:rsidRPr="00E5676C" w:rsidRDefault="00F16D5C" w:rsidP="007718C8">
            <w:pPr>
              <w:rPr>
                <w:sz w:val="20"/>
              </w:rPr>
            </w:pPr>
          </w:p>
        </w:tc>
        <w:tc>
          <w:tcPr>
            <w:tcW w:w="5886" w:type="dxa"/>
            <w:vAlign w:val="bottom"/>
          </w:tcPr>
          <w:p w:rsidR="00F16D5C" w:rsidRPr="00E5676C" w:rsidRDefault="00F16D5C" w:rsidP="007718C8">
            <w:pPr>
              <w:jc w:val="center"/>
              <w:rPr>
                <w:sz w:val="20"/>
              </w:rPr>
            </w:pPr>
            <w:r w:rsidRPr="00E5676C">
              <w:rPr>
                <w:sz w:val="20"/>
              </w:rPr>
              <w:t>FLEXIBILITY</w:t>
            </w:r>
          </w:p>
        </w:tc>
        <w:tc>
          <w:tcPr>
            <w:tcW w:w="553" w:type="dxa"/>
          </w:tcPr>
          <w:p w:rsidR="00F16D5C" w:rsidRPr="00E5676C" w:rsidRDefault="00F16D5C" w:rsidP="007718C8">
            <w:pPr>
              <w:rPr>
                <w:sz w:val="20"/>
              </w:rPr>
            </w:pPr>
          </w:p>
        </w:tc>
      </w:tr>
      <w:tr w:rsidR="00F16D5C" w:rsidRPr="00E5676C" w:rsidTr="007718C8">
        <w:trPr>
          <w:cantSplit/>
          <w:trHeight w:val="1134"/>
        </w:trPr>
        <w:tc>
          <w:tcPr>
            <w:tcW w:w="577" w:type="dxa"/>
            <w:textDirection w:val="btLr"/>
            <w:vAlign w:val="bottom"/>
          </w:tcPr>
          <w:p w:rsidR="00F16D5C" w:rsidRPr="00E5676C" w:rsidRDefault="00F16D5C" w:rsidP="007718C8">
            <w:pPr>
              <w:ind w:left="113" w:right="113"/>
              <w:jc w:val="center"/>
              <w:rPr>
                <w:sz w:val="20"/>
              </w:rPr>
            </w:pPr>
            <w:r w:rsidRPr="00E5676C">
              <w:rPr>
                <w:sz w:val="20"/>
              </w:rPr>
              <w:t>INDEPENDENCE</w:t>
            </w:r>
          </w:p>
        </w:tc>
        <w:tc>
          <w:tcPr>
            <w:tcW w:w="5886" w:type="dxa"/>
            <w:vAlign w:val="bottom"/>
          </w:tcPr>
          <w:p w:rsidR="00F16D5C" w:rsidRPr="00DD1177" w:rsidRDefault="00F16D5C" w:rsidP="007718C8">
            <w:pPr>
              <w:jc w:val="center"/>
              <w:rPr>
                <w:color w:val="FF0000"/>
                <w:sz w:val="20"/>
              </w:rPr>
            </w:pPr>
            <w:r w:rsidRPr="00DD1177">
              <w:rPr>
                <w:noProof/>
                <w:color w:val="FF0000"/>
                <w:sz w:val="20"/>
                <w:lang w:eastAsia="en-GB"/>
              </w:rPr>
              <w:drawing>
                <wp:inline distT="0" distB="0" distL="0" distR="0" wp14:anchorId="3D05ECA5" wp14:editId="275443B8">
                  <wp:extent cx="3600000" cy="3600000"/>
                  <wp:effectExtent l="0" t="0" r="635"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53" w:type="dxa"/>
            <w:textDirection w:val="tbRl"/>
            <w:vAlign w:val="bottom"/>
          </w:tcPr>
          <w:p w:rsidR="00F16D5C" w:rsidRPr="00E5676C" w:rsidRDefault="00F16D5C" w:rsidP="007718C8">
            <w:pPr>
              <w:ind w:left="113" w:right="113"/>
              <w:jc w:val="center"/>
              <w:rPr>
                <w:sz w:val="20"/>
              </w:rPr>
            </w:pPr>
            <w:r w:rsidRPr="00E5676C">
              <w:rPr>
                <w:sz w:val="20"/>
              </w:rPr>
              <w:t>INTERDEPENDENCE</w:t>
            </w:r>
          </w:p>
        </w:tc>
      </w:tr>
      <w:tr w:rsidR="00F16D5C" w:rsidRPr="00E5676C" w:rsidTr="007718C8">
        <w:trPr>
          <w:cantSplit/>
          <w:trHeight w:val="359"/>
        </w:trPr>
        <w:tc>
          <w:tcPr>
            <w:tcW w:w="577" w:type="dxa"/>
          </w:tcPr>
          <w:p w:rsidR="00F16D5C" w:rsidRPr="00E5676C" w:rsidRDefault="00F16D5C" w:rsidP="007718C8">
            <w:pPr>
              <w:rPr>
                <w:sz w:val="20"/>
              </w:rPr>
            </w:pPr>
          </w:p>
        </w:tc>
        <w:tc>
          <w:tcPr>
            <w:tcW w:w="5886" w:type="dxa"/>
          </w:tcPr>
          <w:p w:rsidR="00F16D5C" w:rsidRPr="00E5676C" w:rsidRDefault="00F16D5C" w:rsidP="007718C8">
            <w:pPr>
              <w:jc w:val="center"/>
              <w:rPr>
                <w:sz w:val="20"/>
              </w:rPr>
            </w:pPr>
            <w:r w:rsidRPr="00E5676C">
              <w:rPr>
                <w:sz w:val="20"/>
              </w:rPr>
              <w:t>STABILITY</w:t>
            </w:r>
          </w:p>
        </w:tc>
        <w:tc>
          <w:tcPr>
            <w:tcW w:w="553" w:type="dxa"/>
          </w:tcPr>
          <w:p w:rsidR="00F16D5C" w:rsidRPr="00E5676C" w:rsidRDefault="00F16D5C" w:rsidP="007718C8">
            <w:pPr>
              <w:rPr>
                <w:sz w:val="20"/>
              </w:rPr>
            </w:pPr>
          </w:p>
        </w:tc>
      </w:tr>
    </w:tbl>
    <w:p w:rsidR="00F16D5C" w:rsidRDefault="00F16D5C" w:rsidP="00216243">
      <w:pPr>
        <w:rPr>
          <w:sz w:val="24"/>
        </w:rPr>
      </w:pPr>
    </w:p>
    <w:p w:rsidR="00F16D5C" w:rsidRDefault="00F16D5C" w:rsidP="00216243">
      <w:pPr>
        <w:rPr>
          <w:sz w:val="24"/>
        </w:rPr>
      </w:pPr>
      <w:r>
        <w:rPr>
          <w:sz w:val="24"/>
        </w:rPr>
        <w:t>B</w:t>
      </w:r>
      <w:r w:rsidR="00F1768D">
        <w:rPr>
          <w:sz w:val="24"/>
        </w:rPr>
        <w:t>oard</w:t>
      </w:r>
      <w:r w:rsidR="00C3666F">
        <w:rPr>
          <w:sz w:val="24"/>
        </w:rPr>
        <w:t>/Committee</w:t>
      </w:r>
      <w:r w:rsidR="00F1768D">
        <w:rPr>
          <w:sz w:val="24"/>
        </w:rPr>
        <w:t xml:space="preserve"> a</w:t>
      </w:r>
      <w:r>
        <w:rPr>
          <w:sz w:val="24"/>
        </w:rPr>
        <w:t xml:space="preserve">nd staff perspectives are still similar to one another, and the lack of any statistically significant change between the three iterations of this survey suggests that the organisational culture is very stable.  Stable organisational cultures can be difficult to change, should change be desired.  </w:t>
      </w:r>
    </w:p>
    <w:p w:rsidR="00D96709" w:rsidRDefault="00F1768D" w:rsidP="00216243">
      <w:pPr>
        <w:rPr>
          <w:sz w:val="24"/>
        </w:rPr>
      </w:pPr>
      <w:r>
        <w:rPr>
          <w:sz w:val="24"/>
        </w:rPr>
        <w:t>These results are snapshot</w:t>
      </w:r>
      <w:r w:rsidR="002A214F">
        <w:rPr>
          <w:sz w:val="24"/>
        </w:rPr>
        <w:t>s of opinions at</w:t>
      </w:r>
      <w:r>
        <w:rPr>
          <w:sz w:val="24"/>
        </w:rPr>
        <w:t xml:space="preserve"> </w:t>
      </w:r>
      <w:r w:rsidR="002A214F">
        <w:rPr>
          <w:sz w:val="24"/>
        </w:rPr>
        <w:t>regular points</w:t>
      </w:r>
      <w:r>
        <w:rPr>
          <w:sz w:val="24"/>
        </w:rPr>
        <w:t xml:space="preserve"> in </w:t>
      </w:r>
      <w:proofErr w:type="spellStart"/>
      <w:r>
        <w:rPr>
          <w:sz w:val="24"/>
        </w:rPr>
        <w:t>Hafod’s</w:t>
      </w:r>
      <w:proofErr w:type="spellEnd"/>
      <w:r>
        <w:rPr>
          <w:sz w:val="24"/>
        </w:rPr>
        <w:t xml:space="preserve"> change journey, and they highlight some potential advantages and disadvantages of focusing on different attributes.  </w:t>
      </w:r>
      <w:r w:rsidR="002A214F">
        <w:rPr>
          <w:sz w:val="24"/>
        </w:rPr>
        <w:t xml:space="preserve">Future reiterations of the survey will help </w:t>
      </w:r>
      <w:r>
        <w:rPr>
          <w:sz w:val="24"/>
        </w:rPr>
        <w:t>to capture any shift in organisational culture</w:t>
      </w:r>
      <w:r w:rsidR="002A214F">
        <w:rPr>
          <w:sz w:val="24"/>
        </w:rPr>
        <w:t>, as our change journey continues</w:t>
      </w:r>
      <w:r>
        <w:rPr>
          <w:sz w:val="24"/>
        </w:rPr>
        <w:t xml:space="preserve">.  </w:t>
      </w:r>
    </w:p>
    <w:sectPr w:rsidR="00D967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026" w:rsidRDefault="00EB6026" w:rsidP="00EB6026">
      <w:pPr>
        <w:spacing w:after="0" w:line="240" w:lineRule="auto"/>
      </w:pPr>
      <w:r>
        <w:separator/>
      </w:r>
    </w:p>
  </w:endnote>
  <w:endnote w:type="continuationSeparator" w:id="0">
    <w:p w:rsidR="00EB6026" w:rsidRDefault="00EB6026" w:rsidP="00EB6026">
      <w:pPr>
        <w:spacing w:after="0" w:line="240" w:lineRule="auto"/>
      </w:pPr>
      <w:r>
        <w:continuationSeparator/>
      </w:r>
    </w:p>
  </w:endnote>
  <w:endnote w:id="1">
    <w:p w:rsidR="00EB6026" w:rsidRDefault="00EB6026" w:rsidP="00EB6026">
      <w:pPr>
        <w:pStyle w:val="EndnoteText"/>
      </w:pPr>
      <w:r>
        <w:rPr>
          <w:rStyle w:val="EndnoteReference"/>
        </w:rPr>
        <w:endnoteRef/>
      </w:r>
      <w:r>
        <w:t xml:space="preserve"> </w:t>
      </w:r>
      <w:proofErr w:type="spellStart"/>
      <w:r>
        <w:t>Groysberg</w:t>
      </w:r>
      <w:proofErr w:type="spellEnd"/>
      <w:r>
        <w:t xml:space="preserve">, Boris, J Lee, J Price, J </w:t>
      </w:r>
      <w:proofErr w:type="spellStart"/>
      <w:r>
        <w:t>Yo</w:t>
      </w:r>
      <w:proofErr w:type="spellEnd"/>
      <w:r>
        <w:t>-Jud Cheng, Harvard Business Review, Jan-Feb 2018, 44-57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026" w:rsidRDefault="00EB6026" w:rsidP="00EB6026">
      <w:pPr>
        <w:spacing w:after="0" w:line="240" w:lineRule="auto"/>
      </w:pPr>
      <w:r>
        <w:separator/>
      </w:r>
    </w:p>
  </w:footnote>
  <w:footnote w:type="continuationSeparator" w:id="0">
    <w:p w:rsidR="00EB6026" w:rsidRDefault="00EB6026" w:rsidP="00EB6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5E"/>
    <w:rsid w:val="00005E43"/>
    <w:rsid w:val="000B563E"/>
    <w:rsid w:val="001925D3"/>
    <w:rsid w:val="00216243"/>
    <w:rsid w:val="0024491E"/>
    <w:rsid w:val="002A214F"/>
    <w:rsid w:val="003D1E4B"/>
    <w:rsid w:val="00424C35"/>
    <w:rsid w:val="00471C97"/>
    <w:rsid w:val="005439C9"/>
    <w:rsid w:val="00773A1C"/>
    <w:rsid w:val="0099795E"/>
    <w:rsid w:val="009C553E"/>
    <w:rsid w:val="00A4629B"/>
    <w:rsid w:val="00BC7A88"/>
    <w:rsid w:val="00C3666F"/>
    <w:rsid w:val="00C8733A"/>
    <w:rsid w:val="00D96709"/>
    <w:rsid w:val="00EB6026"/>
    <w:rsid w:val="00F16D5C"/>
    <w:rsid w:val="00F1768D"/>
    <w:rsid w:val="00F21104"/>
    <w:rsid w:val="00FA2324"/>
    <w:rsid w:val="00FB32C5"/>
    <w:rsid w:val="00FE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60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026"/>
    <w:rPr>
      <w:sz w:val="20"/>
      <w:szCs w:val="20"/>
    </w:rPr>
  </w:style>
  <w:style w:type="character" w:styleId="EndnoteReference">
    <w:name w:val="endnote reference"/>
    <w:basedOn w:val="DefaultParagraphFont"/>
    <w:uiPriority w:val="99"/>
    <w:semiHidden/>
    <w:unhideWhenUsed/>
    <w:rsid w:val="00EB6026"/>
    <w:rPr>
      <w:vertAlign w:val="superscript"/>
    </w:rPr>
  </w:style>
  <w:style w:type="table" w:styleId="TableGrid">
    <w:name w:val="Table Grid"/>
    <w:basedOn w:val="TableNormal"/>
    <w:uiPriority w:val="59"/>
    <w:rsid w:val="00EB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60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026"/>
    <w:rPr>
      <w:sz w:val="20"/>
      <w:szCs w:val="20"/>
    </w:rPr>
  </w:style>
  <w:style w:type="character" w:styleId="EndnoteReference">
    <w:name w:val="endnote reference"/>
    <w:basedOn w:val="DefaultParagraphFont"/>
    <w:uiPriority w:val="99"/>
    <w:semiHidden/>
    <w:unhideWhenUsed/>
    <w:rsid w:val="00EB6026"/>
    <w:rPr>
      <w:vertAlign w:val="superscript"/>
    </w:rPr>
  </w:style>
  <w:style w:type="table" w:styleId="TableGrid">
    <w:name w:val="Table Grid"/>
    <w:basedOn w:val="TableNormal"/>
    <w:uiPriority w:val="59"/>
    <w:rsid w:val="00EB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group\housing\Business%20Development\Business%20Intelligence\Organisation%20Profile%20Survey\2019.03%20March%202019%20Org%20Profile%20Survey\Results\March%202019%20Org%20Profile%20Survey%20-%20final%20results\2019.03%20Org%20Profile%20Survey%20Results%20fina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Hafod's Organisation Culture Profile</a:t>
            </a:r>
          </a:p>
          <a:p>
            <a:pPr>
              <a:defRPr/>
            </a:pPr>
            <a:r>
              <a:rPr lang="en-GB" sz="1400"/>
              <a:t>March 2019</a:t>
            </a:r>
          </a:p>
        </c:rich>
      </c:tx>
      <c:layout/>
      <c:overlay val="0"/>
    </c:title>
    <c:autoTitleDeleted val="0"/>
    <c:plotArea>
      <c:layout/>
      <c:barChart>
        <c:barDir val="col"/>
        <c:grouping val="clustered"/>
        <c:varyColors val="0"/>
        <c:ser>
          <c:idx val="0"/>
          <c:order val="0"/>
          <c:tx>
            <c:strRef>
              <c:f>Totals!$B$1</c:f>
              <c:strCache>
                <c:ptCount val="1"/>
                <c:pt idx="0">
                  <c:v>Board</c:v>
                </c:pt>
              </c:strCache>
            </c:strRef>
          </c:tx>
          <c:spPr>
            <a:solidFill>
              <a:schemeClr val="accent1">
                <a:lumMod val="60000"/>
                <a:lumOff val="40000"/>
              </a:schemeClr>
            </a:solidFill>
          </c:spPr>
          <c:invertIfNegative val="0"/>
          <c:cat>
            <c:strRef>
              <c:f>Totals!$A$2:$A$5</c:f>
              <c:strCache>
                <c:ptCount val="4"/>
                <c:pt idx="0">
                  <c:v>Caring</c:v>
                </c:pt>
                <c:pt idx="1">
                  <c:v>Purpose</c:v>
                </c:pt>
                <c:pt idx="2">
                  <c:v>Learning</c:v>
                </c:pt>
                <c:pt idx="3">
                  <c:v>Enjoyment</c:v>
                </c:pt>
              </c:strCache>
            </c:strRef>
          </c:cat>
          <c:val>
            <c:numRef>
              <c:f>Totals!$B$2:$B$5</c:f>
              <c:numCache>
                <c:formatCode>0.0</c:formatCode>
                <c:ptCount val="4"/>
                <c:pt idx="0">
                  <c:v>7.3</c:v>
                </c:pt>
                <c:pt idx="1">
                  <c:v>7.7</c:v>
                </c:pt>
                <c:pt idx="2">
                  <c:v>7.6</c:v>
                </c:pt>
                <c:pt idx="3">
                  <c:v>6.5</c:v>
                </c:pt>
              </c:numCache>
            </c:numRef>
          </c:val>
        </c:ser>
        <c:ser>
          <c:idx val="1"/>
          <c:order val="1"/>
          <c:tx>
            <c:strRef>
              <c:f>Totals!$C$1</c:f>
              <c:strCache>
                <c:ptCount val="1"/>
                <c:pt idx="0">
                  <c:v>Staff</c:v>
                </c:pt>
              </c:strCache>
            </c:strRef>
          </c:tx>
          <c:spPr>
            <a:solidFill>
              <a:schemeClr val="accent2">
                <a:lumMod val="60000"/>
                <a:lumOff val="40000"/>
              </a:schemeClr>
            </a:solidFill>
          </c:spPr>
          <c:invertIfNegative val="0"/>
          <c:cat>
            <c:strRef>
              <c:f>Totals!$A$2:$A$5</c:f>
              <c:strCache>
                <c:ptCount val="4"/>
                <c:pt idx="0">
                  <c:v>Caring</c:v>
                </c:pt>
                <c:pt idx="1">
                  <c:v>Purpose</c:v>
                </c:pt>
                <c:pt idx="2">
                  <c:v>Learning</c:v>
                </c:pt>
                <c:pt idx="3">
                  <c:v>Enjoyment</c:v>
                </c:pt>
              </c:strCache>
            </c:strRef>
          </c:cat>
          <c:val>
            <c:numRef>
              <c:f>Totals!$C$2:$C$5</c:f>
              <c:numCache>
                <c:formatCode>0.0</c:formatCode>
                <c:ptCount val="4"/>
                <c:pt idx="0">
                  <c:v>6.4017857142857144</c:v>
                </c:pt>
                <c:pt idx="1">
                  <c:v>6.6875</c:v>
                </c:pt>
                <c:pt idx="2">
                  <c:v>6.9107142857142856</c:v>
                </c:pt>
                <c:pt idx="3">
                  <c:v>5.4017857142857144</c:v>
                </c:pt>
              </c:numCache>
            </c:numRef>
          </c:val>
        </c:ser>
        <c:ser>
          <c:idx val="2"/>
          <c:order val="2"/>
          <c:tx>
            <c:strRef>
              <c:f>Totals!$D$1</c:f>
              <c:strCache>
                <c:ptCount val="1"/>
                <c:pt idx="0">
                  <c:v>Overall</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Totals!$A$2:$A$5</c:f>
              <c:strCache>
                <c:ptCount val="4"/>
                <c:pt idx="0">
                  <c:v>Caring</c:v>
                </c:pt>
                <c:pt idx="1">
                  <c:v>Purpose</c:v>
                </c:pt>
                <c:pt idx="2">
                  <c:v>Learning</c:v>
                </c:pt>
                <c:pt idx="3">
                  <c:v>Enjoyment</c:v>
                </c:pt>
              </c:strCache>
            </c:strRef>
          </c:cat>
          <c:val>
            <c:numRef>
              <c:f>Totals!$D$2:$D$5</c:f>
              <c:numCache>
                <c:formatCode>0.0</c:formatCode>
                <c:ptCount val="4"/>
                <c:pt idx="0">
                  <c:v>6.4754098360655741</c:v>
                </c:pt>
                <c:pt idx="1">
                  <c:v>6.7704918032786887</c:v>
                </c:pt>
                <c:pt idx="2">
                  <c:v>6.9672131147540988</c:v>
                </c:pt>
                <c:pt idx="3">
                  <c:v>5.4918032786885247</c:v>
                </c:pt>
              </c:numCache>
            </c:numRef>
          </c:val>
        </c:ser>
        <c:dLbls>
          <c:dLblPos val="outEnd"/>
          <c:showLegendKey val="0"/>
          <c:showVal val="1"/>
          <c:showCatName val="0"/>
          <c:showSerName val="0"/>
          <c:showPercent val="0"/>
          <c:showBubbleSize val="0"/>
        </c:dLbls>
        <c:gapWidth val="40"/>
        <c:axId val="112283008"/>
        <c:axId val="127341696"/>
      </c:barChart>
      <c:catAx>
        <c:axId val="112283008"/>
        <c:scaling>
          <c:orientation val="minMax"/>
        </c:scaling>
        <c:delete val="0"/>
        <c:axPos val="b"/>
        <c:majorTickMark val="out"/>
        <c:minorTickMark val="none"/>
        <c:tickLblPos val="nextTo"/>
        <c:crossAx val="127341696"/>
        <c:crosses val="autoZero"/>
        <c:auto val="1"/>
        <c:lblAlgn val="ctr"/>
        <c:lblOffset val="100"/>
        <c:noMultiLvlLbl val="0"/>
      </c:catAx>
      <c:valAx>
        <c:axId val="127341696"/>
        <c:scaling>
          <c:orientation val="minMax"/>
          <c:max val="10"/>
          <c:min val="0"/>
        </c:scaling>
        <c:delete val="0"/>
        <c:axPos val="l"/>
        <c:numFmt formatCode="0" sourceLinked="0"/>
        <c:majorTickMark val="out"/>
        <c:minorTickMark val="none"/>
        <c:tickLblPos val="nextTo"/>
        <c:crossAx val="11228300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Totals!$B$1</c:f>
              <c:strCache>
                <c:ptCount val="1"/>
                <c:pt idx="0">
                  <c:v>Board</c:v>
                </c:pt>
              </c:strCache>
            </c:strRef>
          </c:tx>
          <c:spPr>
            <a:solidFill>
              <a:schemeClr val="accent1">
                <a:lumMod val="60000"/>
                <a:lumOff val="40000"/>
              </a:schemeClr>
            </a:solidFill>
          </c:spPr>
          <c:invertIfNegative val="0"/>
          <c:cat>
            <c:strRef>
              <c:f>Totals!$A$6:$A$9</c:f>
              <c:strCache>
                <c:ptCount val="4"/>
                <c:pt idx="0">
                  <c:v>Results</c:v>
                </c:pt>
                <c:pt idx="1">
                  <c:v>Authority</c:v>
                </c:pt>
                <c:pt idx="2">
                  <c:v>Safety</c:v>
                </c:pt>
                <c:pt idx="3">
                  <c:v>Order</c:v>
                </c:pt>
              </c:strCache>
            </c:strRef>
          </c:cat>
          <c:val>
            <c:numRef>
              <c:f>Totals!$B$6:$B$9</c:f>
              <c:numCache>
                <c:formatCode>0.0</c:formatCode>
                <c:ptCount val="4"/>
                <c:pt idx="0">
                  <c:v>7.5</c:v>
                </c:pt>
                <c:pt idx="1">
                  <c:v>7.2</c:v>
                </c:pt>
                <c:pt idx="2">
                  <c:v>7.1</c:v>
                </c:pt>
                <c:pt idx="3">
                  <c:v>7.2</c:v>
                </c:pt>
              </c:numCache>
            </c:numRef>
          </c:val>
        </c:ser>
        <c:ser>
          <c:idx val="1"/>
          <c:order val="1"/>
          <c:tx>
            <c:strRef>
              <c:f>Totals!$C$1</c:f>
              <c:strCache>
                <c:ptCount val="1"/>
                <c:pt idx="0">
                  <c:v>Staff</c:v>
                </c:pt>
              </c:strCache>
            </c:strRef>
          </c:tx>
          <c:spPr>
            <a:solidFill>
              <a:schemeClr val="accent2">
                <a:lumMod val="60000"/>
                <a:lumOff val="40000"/>
              </a:schemeClr>
            </a:solidFill>
          </c:spPr>
          <c:invertIfNegative val="0"/>
          <c:cat>
            <c:strRef>
              <c:f>Totals!$A$6:$A$9</c:f>
              <c:strCache>
                <c:ptCount val="4"/>
                <c:pt idx="0">
                  <c:v>Results</c:v>
                </c:pt>
                <c:pt idx="1">
                  <c:v>Authority</c:v>
                </c:pt>
                <c:pt idx="2">
                  <c:v>Safety</c:v>
                </c:pt>
                <c:pt idx="3">
                  <c:v>Order</c:v>
                </c:pt>
              </c:strCache>
            </c:strRef>
          </c:cat>
          <c:val>
            <c:numRef>
              <c:f>Totals!$C$6:$C$9</c:f>
              <c:numCache>
                <c:formatCode>0.0</c:formatCode>
                <c:ptCount val="4"/>
                <c:pt idx="0">
                  <c:v>6.3839285714285712</c:v>
                </c:pt>
                <c:pt idx="1">
                  <c:v>6.6875</c:v>
                </c:pt>
                <c:pt idx="2">
                  <c:v>5.875</c:v>
                </c:pt>
                <c:pt idx="3">
                  <c:v>5.8125</c:v>
                </c:pt>
              </c:numCache>
            </c:numRef>
          </c:val>
        </c:ser>
        <c:ser>
          <c:idx val="2"/>
          <c:order val="2"/>
          <c:tx>
            <c:strRef>
              <c:f>Totals!$D$1</c:f>
              <c:strCache>
                <c:ptCount val="1"/>
                <c:pt idx="0">
                  <c:v>Overall</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Totals!$A$6:$A$9</c:f>
              <c:strCache>
                <c:ptCount val="4"/>
                <c:pt idx="0">
                  <c:v>Results</c:v>
                </c:pt>
                <c:pt idx="1">
                  <c:v>Authority</c:v>
                </c:pt>
                <c:pt idx="2">
                  <c:v>Safety</c:v>
                </c:pt>
                <c:pt idx="3">
                  <c:v>Order</c:v>
                </c:pt>
              </c:strCache>
            </c:strRef>
          </c:cat>
          <c:val>
            <c:numRef>
              <c:f>Totals!$D$6:$D$9</c:f>
              <c:numCache>
                <c:formatCode>0.0</c:formatCode>
                <c:ptCount val="4"/>
                <c:pt idx="0">
                  <c:v>6.4754098360655741</c:v>
                </c:pt>
                <c:pt idx="1">
                  <c:v>6.7295081967213113</c:v>
                </c:pt>
                <c:pt idx="2">
                  <c:v>5.9754098360655741</c:v>
                </c:pt>
                <c:pt idx="3">
                  <c:v>5.9262295081967213</c:v>
                </c:pt>
              </c:numCache>
            </c:numRef>
          </c:val>
        </c:ser>
        <c:dLbls>
          <c:dLblPos val="outEnd"/>
          <c:showLegendKey val="0"/>
          <c:showVal val="1"/>
          <c:showCatName val="0"/>
          <c:showSerName val="0"/>
          <c:showPercent val="0"/>
          <c:showBubbleSize val="0"/>
        </c:dLbls>
        <c:gapWidth val="40"/>
        <c:axId val="62273408"/>
        <c:axId val="62274944"/>
      </c:barChart>
      <c:catAx>
        <c:axId val="62273408"/>
        <c:scaling>
          <c:orientation val="minMax"/>
        </c:scaling>
        <c:delete val="0"/>
        <c:axPos val="b"/>
        <c:majorTickMark val="out"/>
        <c:minorTickMark val="none"/>
        <c:tickLblPos val="nextTo"/>
        <c:crossAx val="62274944"/>
        <c:crosses val="autoZero"/>
        <c:auto val="1"/>
        <c:lblAlgn val="ctr"/>
        <c:lblOffset val="100"/>
        <c:noMultiLvlLbl val="0"/>
      </c:catAx>
      <c:valAx>
        <c:axId val="62274944"/>
        <c:scaling>
          <c:orientation val="minMax"/>
          <c:max val="10"/>
          <c:min val="0"/>
        </c:scaling>
        <c:delete val="0"/>
        <c:axPos val="l"/>
        <c:numFmt formatCode="0" sourceLinked="0"/>
        <c:majorTickMark val="out"/>
        <c:minorTickMark val="none"/>
        <c:tickLblPos val="nextTo"/>
        <c:crossAx val="62273408"/>
        <c:crosses val="autoZero"/>
        <c:crossBetween val="between"/>
        <c:majorUnit val="2"/>
      </c:valAx>
    </c:plotArea>
    <c:legend>
      <c:legendPos val="b"/>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Change</a:t>
            </a:r>
            <a:r>
              <a:rPr lang="en-US" sz="1400" baseline="0"/>
              <a:t> from March 2018 to March 2019</a:t>
            </a:r>
            <a:endParaRPr lang="en-US" sz="1400"/>
          </a:p>
        </c:rich>
      </c:tx>
      <c:layout/>
      <c:overlay val="0"/>
    </c:title>
    <c:autoTitleDeleted val="0"/>
    <c:plotArea>
      <c:layout>
        <c:manualLayout>
          <c:layoutTarget val="inner"/>
          <c:xMode val="edge"/>
          <c:yMode val="edge"/>
          <c:x val="5.2941782277215348E-2"/>
          <c:y val="0.17218759113444151"/>
          <c:w val="0.65816875435702937"/>
          <c:h val="0.56507217847769031"/>
        </c:manualLayout>
      </c:layout>
      <c:barChart>
        <c:barDir val="col"/>
        <c:grouping val="clustered"/>
        <c:varyColors val="0"/>
        <c:ser>
          <c:idx val="0"/>
          <c:order val="0"/>
          <c:tx>
            <c:strRef>
              <c:f>Change!$B$24</c:f>
              <c:strCache>
                <c:ptCount val="1"/>
                <c:pt idx="0">
                  <c:v>Mar-18</c:v>
                </c:pt>
              </c:strCache>
            </c:strRef>
          </c:tx>
          <c:invertIfNegative val="0"/>
          <c:dLbls>
            <c:txPr>
              <a:bodyPr rot="5400000" vert="horz"/>
              <a:lstStyle/>
              <a:p>
                <a:pPr>
                  <a:defRPr/>
                </a:pPr>
                <a:endParaRPr lang="en-US"/>
              </a:p>
            </c:txPr>
            <c:dLblPos val="inEnd"/>
            <c:showLegendKey val="0"/>
            <c:showVal val="1"/>
            <c:showCatName val="0"/>
            <c:showSerName val="0"/>
            <c:showPercent val="0"/>
            <c:showBubbleSize val="0"/>
            <c:showLeaderLines val="0"/>
          </c:dLbls>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Change!$B$25:$B$32</c:f>
              <c:numCache>
                <c:formatCode>0.0</c:formatCode>
                <c:ptCount val="8"/>
                <c:pt idx="0">
                  <c:v>6.0549450549450547</c:v>
                </c:pt>
                <c:pt idx="1">
                  <c:v>6.6813186813186816</c:v>
                </c:pt>
                <c:pt idx="2">
                  <c:v>6.813186813186813</c:v>
                </c:pt>
                <c:pt idx="3">
                  <c:v>5.0769230769230766</c:v>
                </c:pt>
                <c:pt idx="4">
                  <c:v>6.3296703296703294</c:v>
                </c:pt>
                <c:pt idx="5">
                  <c:v>6.6263736263736268</c:v>
                </c:pt>
                <c:pt idx="6">
                  <c:v>6.1318681318681323</c:v>
                </c:pt>
                <c:pt idx="7">
                  <c:v>6.197802197802198</c:v>
                </c:pt>
              </c:numCache>
            </c:numRef>
          </c:val>
        </c:ser>
        <c:ser>
          <c:idx val="1"/>
          <c:order val="1"/>
          <c:tx>
            <c:strRef>
              <c:f>Change!$C$24</c:f>
              <c:strCache>
                <c:ptCount val="1"/>
                <c:pt idx="0">
                  <c:v>Sep-18</c:v>
                </c:pt>
              </c:strCache>
            </c:strRef>
          </c:tx>
          <c:spPr>
            <a:solidFill>
              <a:schemeClr val="accent1">
                <a:lumMod val="60000"/>
                <a:lumOff val="40000"/>
              </a:schemeClr>
            </a:solidFill>
          </c:spPr>
          <c:invertIfNegative val="0"/>
          <c:dPt>
            <c:idx val="6"/>
            <c:invertIfNegative val="0"/>
            <c:bubble3D val="0"/>
          </c:dPt>
          <c:dPt>
            <c:idx val="7"/>
            <c:invertIfNegative val="0"/>
            <c:bubble3D val="0"/>
          </c:dPt>
          <c:dLbls>
            <c:txPr>
              <a:bodyPr rot="5400000" vert="horz"/>
              <a:lstStyle/>
              <a:p>
                <a:pPr>
                  <a:defRPr/>
                </a:pPr>
                <a:endParaRPr lang="en-US"/>
              </a:p>
            </c:txPr>
            <c:dLblPos val="inEnd"/>
            <c:showLegendKey val="0"/>
            <c:showVal val="1"/>
            <c:showCatName val="0"/>
            <c:showSerName val="0"/>
            <c:showPercent val="0"/>
            <c:showBubbleSize val="0"/>
            <c:showLeaderLines val="0"/>
          </c:dLbls>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Change!$C$25:$C$32</c:f>
              <c:numCache>
                <c:formatCode>0.0</c:formatCode>
                <c:ptCount val="8"/>
                <c:pt idx="0">
                  <c:v>6.5454545454545459</c:v>
                </c:pt>
                <c:pt idx="1">
                  <c:v>6.8051948051948052</c:v>
                </c:pt>
                <c:pt idx="2">
                  <c:v>7.220779220779221</c:v>
                </c:pt>
                <c:pt idx="3">
                  <c:v>5.4415584415584419</c:v>
                </c:pt>
                <c:pt idx="4">
                  <c:v>6.6363636363636367</c:v>
                </c:pt>
                <c:pt idx="5">
                  <c:v>6.8051948051948052</c:v>
                </c:pt>
                <c:pt idx="6">
                  <c:v>6.0779220779220777</c:v>
                </c:pt>
                <c:pt idx="7">
                  <c:v>5.7922077922077921</c:v>
                </c:pt>
              </c:numCache>
            </c:numRef>
          </c:val>
        </c:ser>
        <c:ser>
          <c:idx val="2"/>
          <c:order val="2"/>
          <c:tx>
            <c:strRef>
              <c:f>Change!$D$24</c:f>
              <c:strCache>
                <c:ptCount val="1"/>
                <c:pt idx="0">
                  <c:v>Mar-19</c:v>
                </c:pt>
              </c:strCache>
            </c:strRef>
          </c:tx>
          <c:spPr>
            <a:solidFill>
              <a:schemeClr val="tx2"/>
            </a:solidFill>
          </c:spPr>
          <c:invertIfNegative val="0"/>
          <c:dLbls>
            <c:txPr>
              <a:bodyPr rot="5400000" vert="horz"/>
              <a:lstStyle/>
              <a:p>
                <a:pPr>
                  <a:defRPr>
                    <a:solidFill>
                      <a:schemeClr val="bg1"/>
                    </a:solidFill>
                  </a:defRPr>
                </a:pPr>
                <a:endParaRPr lang="en-US"/>
              </a:p>
            </c:txPr>
            <c:dLblPos val="inEnd"/>
            <c:showLegendKey val="0"/>
            <c:showVal val="1"/>
            <c:showCatName val="0"/>
            <c:showSerName val="0"/>
            <c:showPercent val="0"/>
            <c:showBubbleSize val="0"/>
            <c:showLeaderLines val="0"/>
          </c:dLbls>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Change!$D$25:$D$32</c:f>
              <c:numCache>
                <c:formatCode>0.0</c:formatCode>
                <c:ptCount val="8"/>
                <c:pt idx="0">
                  <c:v>6.4754098360655741</c:v>
                </c:pt>
                <c:pt idx="1">
                  <c:v>6.7704918032786887</c:v>
                </c:pt>
                <c:pt idx="2">
                  <c:v>6.9672131147540988</c:v>
                </c:pt>
                <c:pt idx="3">
                  <c:v>5.4918032786885247</c:v>
                </c:pt>
                <c:pt idx="4">
                  <c:v>6.4754098360655741</c:v>
                </c:pt>
                <c:pt idx="5">
                  <c:v>6.7295081967213113</c:v>
                </c:pt>
                <c:pt idx="6">
                  <c:v>5.9754098360655741</c:v>
                </c:pt>
                <c:pt idx="7">
                  <c:v>5.9262295081967213</c:v>
                </c:pt>
              </c:numCache>
            </c:numRef>
          </c:val>
        </c:ser>
        <c:dLbls>
          <c:showLegendKey val="0"/>
          <c:showVal val="0"/>
          <c:showCatName val="0"/>
          <c:showSerName val="0"/>
          <c:showPercent val="0"/>
          <c:showBubbleSize val="0"/>
        </c:dLbls>
        <c:gapWidth val="50"/>
        <c:axId val="66700032"/>
        <c:axId val="66701568"/>
      </c:barChart>
      <c:catAx>
        <c:axId val="66700032"/>
        <c:scaling>
          <c:orientation val="minMax"/>
        </c:scaling>
        <c:delete val="0"/>
        <c:axPos val="b"/>
        <c:numFmt formatCode="mmm\-yy" sourceLinked="1"/>
        <c:majorTickMark val="out"/>
        <c:minorTickMark val="none"/>
        <c:tickLblPos val="nextTo"/>
        <c:txPr>
          <a:bodyPr rot="5400000" vert="horz"/>
          <a:lstStyle/>
          <a:p>
            <a:pPr>
              <a:defRPr/>
            </a:pPr>
            <a:endParaRPr lang="en-US"/>
          </a:p>
        </c:txPr>
        <c:crossAx val="66701568"/>
        <c:crosses val="autoZero"/>
        <c:auto val="1"/>
        <c:lblAlgn val="ctr"/>
        <c:lblOffset val="100"/>
        <c:noMultiLvlLbl val="0"/>
      </c:catAx>
      <c:valAx>
        <c:axId val="66701568"/>
        <c:scaling>
          <c:orientation val="minMax"/>
        </c:scaling>
        <c:delete val="0"/>
        <c:axPos val="l"/>
        <c:numFmt formatCode="0" sourceLinked="0"/>
        <c:majorTickMark val="out"/>
        <c:minorTickMark val="none"/>
        <c:tickLblPos val="nextTo"/>
        <c:crossAx val="66700032"/>
        <c:crosses val="autoZero"/>
        <c:crossBetween val="between"/>
      </c:valAx>
    </c:plotArea>
    <c:legend>
      <c:legendPos val="r"/>
      <c:layout/>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Sheet1!$D$1</c:f>
              <c:strCache>
                <c:ptCount val="1"/>
                <c:pt idx="0">
                  <c:v>y</c:v>
                </c:pt>
              </c:strCache>
            </c:strRef>
          </c:tx>
          <c:spPr>
            <a:ln w="12700" cmpd="sng">
              <a:noFill/>
            </a:ln>
          </c:spPr>
          <c:marker>
            <c:symbol val="circle"/>
            <c:size val="7"/>
            <c:spPr>
              <a:ln>
                <a:noFill/>
              </a:ln>
            </c:spPr>
          </c:marker>
          <c:dPt>
            <c:idx val="1"/>
            <c:marker>
              <c:spPr>
                <a:solidFill>
                  <a:schemeClr val="accent3"/>
                </a:solidFill>
                <a:ln>
                  <a:noFill/>
                </a:ln>
              </c:spPr>
            </c:marker>
            <c:bubble3D val="0"/>
          </c:dPt>
          <c:dPt>
            <c:idx val="2"/>
            <c:marker>
              <c:spPr>
                <a:solidFill>
                  <a:schemeClr val="accent6"/>
                </a:solidFill>
                <a:ln>
                  <a:noFill/>
                </a:ln>
              </c:spPr>
            </c:marker>
            <c:bubble3D val="0"/>
          </c:dPt>
          <c:dPt>
            <c:idx val="3"/>
            <c:marker>
              <c:spPr>
                <a:solidFill>
                  <a:schemeClr val="accent6">
                    <a:lumMod val="75000"/>
                  </a:schemeClr>
                </a:solidFill>
                <a:ln>
                  <a:noFill/>
                </a:ln>
              </c:spPr>
            </c:marker>
            <c:bubble3D val="0"/>
          </c:dPt>
          <c:dPt>
            <c:idx val="4"/>
            <c:marker>
              <c:spPr>
                <a:solidFill>
                  <a:srgbClr val="FF0000"/>
                </a:solidFill>
                <a:ln>
                  <a:noFill/>
                </a:ln>
              </c:spPr>
            </c:marker>
            <c:bubble3D val="0"/>
          </c:dPt>
          <c:dPt>
            <c:idx val="5"/>
            <c:marker>
              <c:spPr>
                <a:solidFill>
                  <a:schemeClr val="bg2">
                    <a:lumMod val="25000"/>
                  </a:schemeClr>
                </a:solidFill>
                <a:ln>
                  <a:noFill/>
                </a:ln>
              </c:spPr>
            </c:marker>
            <c:bubble3D val="0"/>
          </c:dPt>
          <c:dPt>
            <c:idx val="6"/>
            <c:marker>
              <c:spPr>
                <a:solidFill>
                  <a:schemeClr val="accent4"/>
                </a:solidFill>
                <a:ln>
                  <a:noFill/>
                </a:ln>
              </c:spPr>
            </c:marker>
            <c:bubble3D val="0"/>
          </c:dPt>
          <c:dPt>
            <c:idx val="7"/>
            <c:marker>
              <c:spPr>
                <a:solidFill>
                  <a:schemeClr val="tx2"/>
                </a:solidFill>
                <a:ln>
                  <a:noFill/>
                </a:ln>
              </c:spPr>
            </c:marker>
            <c:bubble3D val="0"/>
          </c:dPt>
          <c:dLbls>
            <c:dLbl>
              <c:idx val="0"/>
              <c:layout/>
              <c:tx>
                <c:rich>
                  <a:bodyPr/>
                  <a:lstStyle/>
                  <a:p>
                    <a:r>
                      <a:rPr lang="en-US" sz="800"/>
                      <a:t>CARING</a:t>
                    </a:r>
                    <a:endParaRPr lang="en-US"/>
                  </a:p>
                </c:rich>
              </c:tx>
              <c:dLblPos val="t"/>
              <c:showLegendKey val="0"/>
              <c:showVal val="1"/>
              <c:showCatName val="0"/>
              <c:showSerName val="0"/>
              <c:showPercent val="0"/>
              <c:showBubbleSize val="0"/>
            </c:dLbl>
            <c:dLbl>
              <c:idx val="1"/>
              <c:layout/>
              <c:tx>
                <c:rich>
                  <a:bodyPr/>
                  <a:lstStyle/>
                  <a:p>
                    <a:r>
                      <a:rPr lang="en-US" sz="800"/>
                      <a:t>PURPOSE</a:t>
                    </a:r>
                    <a:endParaRPr lang="en-US"/>
                  </a:p>
                </c:rich>
              </c:tx>
              <c:dLblPos val="t"/>
              <c:showLegendKey val="0"/>
              <c:showVal val="1"/>
              <c:showCatName val="0"/>
              <c:showSerName val="0"/>
              <c:showPercent val="0"/>
              <c:showBubbleSize val="0"/>
            </c:dLbl>
            <c:dLbl>
              <c:idx val="2"/>
              <c:layout/>
              <c:tx>
                <c:rich>
                  <a:bodyPr/>
                  <a:lstStyle/>
                  <a:p>
                    <a:r>
                      <a:rPr lang="en-US" sz="800"/>
                      <a:t>LEARNING</a:t>
                    </a:r>
                    <a:endParaRPr lang="en-US"/>
                  </a:p>
                </c:rich>
              </c:tx>
              <c:dLblPos val="t"/>
              <c:showLegendKey val="0"/>
              <c:showVal val="1"/>
              <c:showCatName val="0"/>
              <c:showSerName val="0"/>
              <c:showPercent val="0"/>
              <c:showBubbleSize val="0"/>
            </c:dLbl>
            <c:dLbl>
              <c:idx val="3"/>
              <c:layout/>
              <c:tx>
                <c:rich>
                  <a:bodyPr/>
                  <a:lstStyle/>
                  <a:p>
                    <a:r>
                      <a:rPr lang="en-US" sz="800"/>
                      <a:t>ENJOYMENT</a:t>
                    </a:r>
                    <a:endParaRPr lang="en-US"/>
                  </a:p>
                </c:rich>
              </c:tx>
              <c:dLblPos val="t"/>
              <c:showLegendKey val="0"/>
              <c:showVal val="1"/>
              <c:showCatName val="0"/>
              <c:showSerName val="0"/>
              <c:showPercent val="0"/>
              <c:showBubbleSize val="0"/>
            </c:dLbl>
            <c:dLbl>
              <c:idx val="4"/>
              <c:layout/>
              <c:tx>
                <c:rich>
                  <a:bodyPr/>
                  <a:lstStyle/>
                  <a:p>
                    <a:r>
                      <a:rPr lang="en-US" sz="800"/>
                      <a:t>RESULTS</a:t>
                    </a:r>
                    <a:endParaRPr lang="en-US"/>
                  </a:p>
                </c:rich>
              </c:tx>
              <c:dLblPos val="t"/>
              <c:showLegendKey val="0"/>
              <c:showVal val="1"/>
              <c:showCatName val="0"/>
              <c:showSerName val="0"/>
              <c:showPercent val="0"/>
              <c:showBubbleSize val="0"/>
            </c:dLbl>
            <c:dLbl>
              <c:idx val="5"/>
              <c:layout/>
              <c:tx>
                <c:rich>
                  <a:bodyPr/>
                  <a:lstStyle/>
                  <a:p>
                    <a:r>
                      <a:rPr lang="en-US" sz="800"/>
                      <a:t>AUTHORITY</a:t>
                    </a:r>
                    <a:endParaRPr lang="en-US"/>
                  </a:p>
                </c:rich>
              </c:tx>
              <c:dLblPos val="t"/>
              <c:showLegendKey val="0"/>
              <c:showVal val="1"/>
              <c:showCatName val="0"/>
              <c:showSerName val="0"/>
              <c:showPercent val="0"/>
              <c:showBubbleSize val="0"/>
            </c:dLbl>
            <c:dLbl>
              <c:idx val="6"/>
              <c:layout/>
              <c:tx>
                <c:rich>
                  <a:bodyPr/>
                  <a:lstStyle/>
                  <a:p>
                    <a:r>
                      <a:rPr lang="en-US" sz="800"/>
                      <a:t>SAFETY</a:t>
                    </a:r>
                    <a:endParaRPr lang="en-US"/>
                  </a:p>
                </c:rich>
              </c:tx>
              <c:dLblPos val="t"/>
              <c:showLegendKey val="0"/>
              <c:showVal val="1"/>
              <c:showCatName val="0"/>
              <c:showSerName val="0"/>
              <c:showPercent val="0"/>
              <c:showBubbleSize val="0"/>
            </c:dLbl>
            <c:dLbl>
              <c:idx val="7"/>
              <c:layout/>
              <c:tx>
                <c:rich>
                  <a:bodyPr/>
                  <a:lstStyle/>
                  <a:p>
                    <a:r>
                      <a:rPr lang="en-US" sz="800"/>
                      <a:t>ORDER</a:t>
                    </a:r>
                    <a:endParaRPr lang="en-US"/>
                  </a:p>
                </c:rich>
              </c:tx>
              <c:dLblPos val="t"/>
              <c:showLegendKey val="0"/>
              <c:showVal val="1"/>
              <c:showCatName val="0"/>
              <c:showSerName val="0"/>
              <c:showPercent val="0"/>
              <c:showBubbleSize val="0"/>
            </c:dLbl>
            <c:txPr>
              <a:bodyPr/>
              <a:lstStyle/>
              <a:p>
                <a:pPr>
                  <a:defRPr sz="800"/>
                </a:pPr>
                <a:endParaRPr lang="en-US"/>
              </a:p>
            </c:txPr>
            <c:dLblPos val="t"/>
            <c:showLegendKey val="0"/>
            <c:showVal val="1"/>
            <c:showCatName val="0"/>
            <c:showSerName val="0"/>
            <c:showPercent val="0"/>
            <c:showBubbleSize val="0"/>
            <c:showLeaderLines val="0"/>
          </c:dLbls>
          <c:xVal>
            <c:numRef>
              <c:f>Sheet1!$C$2:$C$9</c:f>
              <c:numCache>
                <c:formatCode>General</c:formatCode>
                <c:ptCount val="8"/>
                <c:pt idx="0">
                  <c:v>6.4273504273504276</c:v>
                </c:pt>
                <c:pt idx="1">
                  <c:v>2</c:v>
                </c:pt>
                <c:pt idx="2">
                  <c:v>-2</c:v>
                </c:pt>
                <c:pt idx="3">
                  <c:v>-5.4188034188034191</c:v>
                </c:pt>
                <c:pt idx="4">
                  <c:v>-6.4188034188034191</c:v>
                </c:pt>
                <c:pt idx="5">
                  <c:v>-2</c:v>
                </c:pt>
                <c:pt idx="6">
                  <c:v>2</c:v>
                </c:pt>
                <c:pt idx="7">
                  <c:v>5.8888888888888893</c:v>
                </c:pt>
              </c:numCache>
            </c:numRef>
          </c:xVal>
          <c:yVal>
            <c:numRef>
              <c:f>Sheet1!$D$2:$D$9</c:f>
              <c:numCache>
                <c:formatCode>General</c:formatCode>
                <c:ptCount val="8"/>
                <c:pt idx="0">
                  <c:v>2</c:v>
                </c:pt>
                <c:pt idx="1">
                  <c:v>6.7264957264957266</c:v>
                </c:pt>
                <c:pt idx="2">
                  <c:v>6.9230769230769234</c:v>
                </c:pt>
                <c:pt idx="3">
                  <c:v>2</c:v>
                </c:pt>
                <c:pt idx="4">
                  <c:v>-2</c:v>
                </c:pt>
                <c:pt idx="5">
                  <c:v>-6.700854700854701</c:v>
                </c:pt>
                <c:pt idx="6">
                  <c:v>-5.9401709401709404</c:v>
                </c:pt>
                <c:pt idx="7">
                  <c:v>-2</c:v>
                </c:pt>
              </c:numCache>
            </c:numRef>
          </c:yVal>
          <c:smooth val="1"/>
        </c:ser>
        <c:dLbls>
          <c:showLegendKey val="0"/>
          <c:showVal val="0"/>
          <c:showCatName val="0"/>
          <c:showSerName val="0"/>
          <c:showPercent val="0"/>
          <c:showBubbleSize val="0"/>
        </c:dLbls>
        <c:axId val="62249216"/>
        <c:axId val="134160384"/>
      </c:scatterChart>
      <c:valAx>
        <c:axId val="62249216"/>
        <c:scaling>
          <c:orientation val="minMax"/>
          <c:max val="10"/>
          <c:min val="-10"/>
        </c:scaling>
        <c:delete val="0"/>
        <c:axPos val="b"/>
        <c:majorGridlines>
          <c:spPr>
            <a:ln>
              <a:solidFill>
                <a:schemeClr val="bg1"/>
              </a:solidFill>
            </a:ln>
          </c:spPr>
        </c:majorGridlines>
        <c:numFmt formatCode="General" sourceLinked="1"/>
        <c:majorTickMark val="none"/>
        <c:minorTickMark val="none"/>
        <c:tickLblPos val="none"/>
        <c:spPr>
          <a:ln>
            <a:headEnd type="arrow"/>
            <a:tailEnd type="arrow"/>
          </a:ln>
        </c:spPr>
        <c:crossAx val="134160384"/>
        <c:crosses val="autoZero"/>
        <c:crossBetween val="midCat"/>
        <c:majorUnit val="2"/>
      </c:valAx>
      <c:valAx>
        <c:axId val="134160384"/>
        <c:scaling>
          <c:orientation val="minMax"/>
          <c:max val="10"/>
          <c:min val="-10"/>
        </c:scaling>
        <c:delete val="0"/>
        <c:axPos val="l"/>
        <c:majorGridlines>
          <c:spPr>
            <a:ln>
              <a:solidFill>
                <a:schemeClr val="bg1"/>
              </a:solidFill>
            </a:ln>
          </c:spPr>
        </c:majorGridlines>
        <c:numFmt formatCode="General" sourceLinked="1"/>
        <c:majorTickMark val="none"/>
        <c:minorTickMark val="none"/>
        <c:tickLblPos val="none"/>
        <c:spPr>
          <a:ln>
            <a:headEnd type="arrow"/>
            <a:tailEnd type="arrow"/>
          </a:ln>
        </c:spPr>
        <c:crossAx val="62249216"/>
        <c:crosses val="autoZero"/>
        <c:crossBetween val="midCat"/>
        <c:majorUnit val="2"/>
      </c:valAx>
      <c:spPr>
        <a:solidFill>
          <a:schemeClr val="bg1">
            <a:lumMod val="95000"/>
          </a:schemeClr>
        </a:solidFill>
      </c:spPr>
    </c:plotArea>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0.71408</cdr:x>
      <cdr:y>0.37847</cdr:y>
    </cdr:from>
    <cdr:to>
      <cdr:x>1</cdr:x>
      <cdr:y>0.71181</cdr:y>
    </cdr:to>
    <cdr:sp macro="" textlink="">
      <cdr:nvSpPr>
        <cdr:cNvPr id="2" name="TextBox 1"/>
        <cdr:cNvSpPr txBox="1"/>
      </cdr:nvSpPr>
      <cdr:spPr>
        <a:xfrm xmlns:a="http://schemas.openxmlformats.org/drawingml/2006/main">
          <a:off x="4781534" y="1038219"/>
          <a:ext cx="1914542" cy="914406"/>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gn="l"/>
          <a:r>
            <a:rPr lang="en-GB" sz="1000">
              <a:solidFill>
                <a:schemeClr val="accent1"/>
              </a:solidFill>
              <a:latin typeface="Arial"/>
              <a:cs typeface="Arial"/>
              <a:sym typeface="Wingdings"/>
            </a:rPr>
            <a:t> </a:t>
          </a:r>
          <a:r>
            <a:rPr lang="en-GB" sz="900">
              <a:latin typeface="Arial"/>
              <a:cs typeface="Arial"/>
              <a:sym typeface="Wingdings"/>
            </a:rPr>
            <a:t>March 2018</a:t>
          </a:r>
        </a:p>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kumimoji="0" lang="en-GB" sz="1000" b="0" i="0" u="none" strike="noStrike" kern="0" cap="none" spc="0" normalizeH="0" baseline="0" noProof="0">
              <a:ln>
                <a:noFill/>
              </a:ln>
              <a:solidFill>
                <a:schemeClr val="accent1">
                  <a:lumMod val="60000"/>
                  <a:lumOff val="40000"/>
                </a:schemeClr>
              </a:solidFill>
              <a:effectLst/>
              <a:uLnTx/>
              <a:uFillTx/>
              <a:latin typeface="Arial"/>
              <a:ea typeface="+mn-ea"/>
              <a:cs typeface="Arial"/>
              <a:sym typeface="Wingdings"/>
            </a:rPr>
            <a:t></a:t>
          </a:r>
          <a:r>
            <a:rPr kumimoji="0" lang="en-GB" sz="1000" b="0" i="0" u="none" strike="noStrike" kern="0" cap="none" spc="0" normalizeH="0" baseline="0" noProof="0">
              <a:ln>
                <a:noFill/>
              </a:ln>
              <a:solidFill>
                <a:srgbClr val="9BBB59"/>
              </a:solidFill>
              <a:effectLst/>
              <a:uLnTx/>
              <a:uFillTx/>
              <a:latin typeface="Arial"/>
              <a:ea typeface="+mn-ea"/>
              <a:cs typeface="Arial"/>
              <a:sym typeface="Wingdings"/>
            </a:rPr>
            <a:t> </a:t>
          </a:r>
          <a:r>
            <a:rPr kumimoji="0" lang="en-GB" sz="900" b="0" i="0" u="none" strike="noStrike" kern="0" cap="none" spc="0" normalizeH="0" baseline="0" noProof="0">
              <a:ln>
                <a:noFill/>
              </a:ln>
              <a:solidFill>
                <a:sysClr val="windowText" lastClr="000000"/>
              </a:solidFill>
              <a:effectLst/>
              <a:uLnTx/>
              <a:uFillTx/>
              <a:latin typeface="Arial"/>
              <a:ea typeface="+mn-ea"/>
              <a:cs typeface="Arial"/>
              <a:sym typeface="Wingdings"/>
            </a:rPr>
            <a:t>Sept 2018 </a:t>
          </a:r>
          <a:endParaRPr lang="en-GB" sz="1000">
            <a:latin typeface="Arial"/>
            <a:cs typeface="Arial"/>
            <a:sym typeface="Wingdings"/>
          </a:endParaRPr>
        </a:p>
        <a:p xmlns:a="http://schemas.openxmlformats.org/drawingml/2006/main">
          <a:pPr algn="l"/>
          <a:r>
            <a:rPr lang="en-GB" sz="1000">
              <a:solidFill>
                <a:schemeClr val="tx2"/>
              </a:solidFill>
              <a:latin typeface="Arial"/>
              <a:cs typeface="Arial"/>
              <a:sym typeface="Wingdings"/>
            </a:rPr>
            <a:t></a:t>
          </a:r>
          <a:r>
            <a:rPr lang="en-GB" sz="1000">
              <a:solidFill>
                <a:schemeClr val="accent3"/>
              </a:solidFill>
              <a:latin typeface="Arial"/>
              <a:cs typeface="Arial"/>
              <a:sym typeface="Wingdings"/>
            </a:rPr>
            <a:t> </a:t>
          </a:r>
          <a:r>
            <a:rPr lang="en-GB" sz="900">
              <a:latin typeface="Arial"/>
              <a:cs typeface="Arial"/>
              <a:sym typeface="Wingdings"/>
            </a:rPr>
            <a:t>March</a:t>
          </a:r>
          <a:r>
            <a:rPr lang="en-GB" sz="900" baseline="0">
              <a:latin typeface="Arial"/>
              <a:cs typeface="Arial"/>
              <a:sym typeface="Wingdings"/>
            </a:rPr>
            <a:t> 2019 </a:t>
          </a:r>
        </a:p>
        <a:p xmlns:a="http://schemas.openxmlformats.org/drawingml/2006/main">
          <a:pPr algn="l"/>
          <a:r>
            <a:rPr lang="en-GB" sz="1000" b="1" baseline="0">
              <a:solidFill>
                <a:schemeClr val="tx2"/>
              </a:solidFill>
              <a:latin typeface="Arial"/>
              <a:cs typeface="Arial"/>
              <a:sym typeface="Wingdings"/>
            </a:rPr>
            <a:t>*</a:t>
          </a:r>
          <a:r>
            <a:rPr lang="en-GB" sz="1000" b="1" baseline="0">
              <a:solidFill>
                <a:schemeClr val="accent3"/>
              </a:solidFill>
              <a:latin typeface="Arial"/>
              <a:cs typeface="Arial"/>
              <a:sym typeface="Wingdings"/>
            </a:rPr>
            <a:t> </a:t>
          </a:r>
          <a:r>
            <a:rPr lang="en-GB" sz="900" baseline="0">
              <a:latin typeface="Arial"/>
              <a:cs typeface="Arial"/>
              <a:sym typeface="Wingdings"/>
            </a:rPr>
            <a:t>Statistically significant change from from previous survey</a:t>
          </a:r>
          <a:endParaRPr lang="en-GB" sz="1000"/>
        </a:p>
      </cdr:txBody>
    </cdr:sp>
  </cdr:relSizeAnchor>
  <cdr:relSizeAnchor xmlns:cdr="http://schemas.openxmlformats.org/drawingml/2006/chartDrawing">
    <cdr:from>
      <cdr:x>0.07871</cdr:x>
      <cdr:y>0.20255</cdr:y>
    </cdr:from>
    <cdr:to>
      <cdr:x>0.10858</cdr:x>
      <cdr:y>0.28241</cdr:y>
    </cdr:to>
    <cdr:sp macro="" textlink="">
      <cdr:nvSpPr>
        <cdr:cNvPr id="6" name="TextBox 1"/>
        <cdr:cNvSpPr txBox="1"/>
      </cdr:nvSpPr>
      <cdr:spPr>
        <a:xfrm xmlns:a="http://schemas.openxmlformats.org/drawingml/2006/main">
          <a:off x="527050" y="555625"/>
          <a:ext cx="200002" cy="2190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100" b="1">
              <a:solidFill>
                <a:schemeClr val="tx2"/>
              </a:solidFill>
              <a:latin typeface="Arial" pitchFamily="34" charset="0"/>
              <a:cs typeface="Arial" pitchFamily="34"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0.40572</cdr:x>
      <cdr:y>0.17816</cdr:y>
    </cdr:from>
    <cdr:to>
      <cdr:x>0.5927</cdr:x>
      <cdr:y>0.80967</cdr:y>
    </cdr:to>
    <cdr:grpSp>
      <cdr:nvGrpSpPr>
        <cdr:cNvPr id="7" name="Group 6"/>
        <cdr:cNvGrpSpPr/>
      </cdr:nvGrpSpPr>
      <cdr:grpSpPr>
        <a:xfrm xmlns:a="http://schemas.openxmlformats.org/drawingml/2006/main">
          <a:off x="1460500" y="641350"/>
          <a:ext cx="673100" cy="2273300"/>
          <a:chOff x="1460500" y="641350"/>
          <a:chExt cx="673100" cy="2273300"/>
        </a:xfrm>
      </cdr:grpSpPr>
      <cdr:cxnSp macro="">
        <cdr:nvCxnSpPr>
          <cdr:cNvPr id="4" name="Straight Connector 3"/>
          <cdr:cNvCxnSpPr/>
        </cdr:nvCxnSpPr>
        <cdr:spPr>
          <a:xfrm xmlns:a="http://schemas.openxmlformats.org/drawingml/2006/main" flipV="1">
            <a:off x="1466850" y="676275"/>
            <a:ext cx="657225" cy="2238375"/>
          </a:xfrm>
          <a:prstGeom xmlns:a="http://schemas.openxmlformats.org/drawingml/2006/main" prst="lin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6" name="Straight Connector 5"/>
          <cdr:cNvCxnSpPr/>
        </cdr:nvCxnSpPr>
        <cdr:spPr>
          <a:xfrm xmlns:a="http://schemas.openxmlformats.org/drawingml/2006/main" flipH="1" flipV="1">
            <a:off x="1460500" y="641350"/>
            <a:ext cx="673100" cy="4445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dr:relSizeAnchor xmlns:cdr="http://schemas.openxmlformats.org/drawingml/2006/chartDrawing">
    <cdr:from>
      <cdr:x>0</cdr:x>
      <cdr:y>0</cdr:y>
    </cdr:from>
    <cdr:to>
      <cdr:x>0</cdr:x>
      <cdr:y>0</cdr:y>
    </cdr:to>
    <cdr:grpSp>
      <cdr:nvGrpSpPr>
        <cdr:cNvPr id="20" name="Group 19"/>
        <cdr:cNvGrpSpPr/>
      </cdr:nvGrpSpPr>
      <cdr:grpSpPr>
        <a:xfrm xmlns:a="http://schemas.openxmlformats.org/drawingml/2006/main">
          <a:off x="0" y="0"/>
          <a:ext cx="0" cy="0"/>
          <a:chOff x="0" y="0"/>
          <a:chExt cx="0" cy="0"/>
        </a:xfrm>
      </cdr:grpSpPr>
    </cdr:grpSp>
  </cdr:relSizeAnchor>
  <cdr:relSizeAnchor xmlns:cdr="http://schemas.openxmlformats.org/drawingml/2006/chartDrawing">
    <cdr:from>
      <cdr:x>0.40572</cdr:x>
      <cdr:y>0.17816</cdr:y>
    </cdr:from>
    <cdr:to>
      <cdr:x>0.40748</cdr:x>
      <cdr:y>0.8079</cdr:y>
    </cdr:to>
    <cdr:cxnSp macro="">
      <cdr:nvCxnSpPr>
        <cdr:cNvPr id="11" name="Straight Connector 10"/>
        <cdr:cNvCxnSpPr/>
      </cdr:nvCxnSpPr>
      <cdr:spPr>
        <a:xfrm xmlns:a="http://schemas.openxmlformats.org/drawingml/2006/main" flipH="1">
          <a:off x="1460500" y="641350"/>
          <a:ext cx="6350" cy="2266950"/>
        </a:xfrm>
        <a:prstGeom xmlns:a="http://schemas.openxmlformats.org/drawingml/2006/main" prst="lin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0.20462</cdr:x>
      <cdr:y>0.19051</cdr:y>
    </cdr:from>
    <cdr:to>
      <cdr:x>0.58917</cdr:x>
      <cdr:y>0.5927</cdr:y>
    </cdr:to>
    <cdr:cxnSp macro="">
      <cdr:nvCxnSpPr>
        <cdr:cNvPr id="13" name="Straight Connector 12"/>
        <cdr:cNvCxnSpPr/>
      </cdr:nvCxnSpPr>
      <cdr:spPr>
        <a:xfrm xmlns:a="http://schemas.openxmlformats.org/drawingml/2006/main" flipV="1">
          <a:off x="736600" y="685800"/>
          <a:ext cx="1384300" cy="1447800"/>
        </a:xfrm>
        <a:prstGeom xmlns:a="http://schemas.openxmlformats.org/drawingml/2006/main" prst="line">
          <a:avLst/>
        </a:prstGeom>
        <a:ln xmlns:a="http://schemas.openxmlformats.org/drawingml/2006/main">
          <a:solidFill>
            <a:schemeClr val="accent3"/>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0.20462</cdr:x>
      <cdr:y>0.17993</cdr:y>
    </cdr:from>
    <cdr:to>
      <cdr:x>0.40395</cdr:x>
      <cdr:y>0.59623</cdr:y>
    </cdr:to>
    <cdr:cxnSp macro="">
      <cdr:nvCxnSpPr>
        <cdr:cNvPr id="15" name="Straight Connector 14"/>
        <cdr:cNvCxnSpPr/>
      </cdr:nvCxnSpPr>
      <cdr:spPr>
        <a:xfrm xmlns:a="http://schemas.openxmlformats.org/drawingml/2006/main" flipV="1">
          <a:off x="736600" y="647700"/>
          <a:ext cx="717550" cy="1498600"/>
        </a:xfrm>
        <a:prstGeom xmlns:a="http://schemas.openxmlformats.org/drawingml/2006/main" prst="line">
          <a:avLst/>
        </a:prstGeom>
        <a:ln xmlns:a="http://schemas.openxmlformats.org/drawingml/2006/main">
          <a:solidFill>
            <a:schemeClr val="accent3"/>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0.40572</cdr:x>
      <cdr:y>0.17816</cdr:y>
    </cdr:from>
    <cdr:to>
      <cdr:x>0.59093</cdr:x>
      <cdr:y>0.18875</cdr:y>
    </cdr:to>
    <cdr:cxnSp macro="">
      <cdr:nvCxnSpPr>
        <cdr:cNvPr id="17" name="Straight Connector 16"/>
        <cdr:cNvCxnSpPr/>
      </cdr:nvCxnSpPr>
      <cdr:spPr>
        <a:xfrm xmlns:a="http://schemas.openxmlformats.org/drawingml/2006/main">
          <a:off x="1460500" y="641350"/>
          <a:ext cx="666750" cy="38100"/>
        </a:xfrm>
        <a:prstGeom xmlns:a="http://schemas.openxmlformats.org/drawingml/2006/main" prst="lin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0.73382</cdr:x>
      <cdr:y>0.08996</cdr:y>
    </cdr:from>
    <cdr:to>
      <cdr:x>0.93491</cdr:x>
      <cdr:y>0.22403</cdr:y>
    </cdr:to>
    <cdr:sp macro="" textlink="">
      <cdr:nvSpPr>
        <cdr:cNvPr id="18" name="Text Box 17"/>
        <cdr:cNvSpPr txBox="1"/>
      </cdr:nvSpPr>
      <cdr:spPr>
        <a:xfrm xmlns:a="http://schemas.openxmlformats.org/drawingml/2006/main">
          <a:off x="2641600" y="323850"/>
          <a:ext cx="723900" cy="482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0.73205</cdr:x>
      <cdr:y>0.11289</cdr:y>
    </cdr:from>
    <cdr:to>
      <cdr:x>0.92609</cdr:x>
      <cdr:y>0.24872</cdr:y>
    </cdr:to>
    <cdr:sp macro="" textlink="">
      <cdr:nvSpPr>
        <cdr:cNvPr id="19" name="Text Box 18"/>
        <cdr:cNvSpPr txBox="1"/>
      </cdr:nvSpPr>
      <cdr:spPr>
        <a:xfrm xmlns:a="http://schemas.openxmlformats.org/drawingml/2006/main">
          <a:off x="2635250" y="406400"/>
          <a:ext cx="698500" cy="488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0.73734</cdr:x>
      <cdr:y>0.07938</cdr:y>
    </cdr:from>
    <cdr:to>
      <cdr:x>0.92256</cdr:x>
      <cdr:y>0.20462</cdr:y>
    </cdr:to>
    <cdr:sp macro="" textlink="">
      <cdr:nvSpPr>
        <cdr:cNvPr id="21" name="Text Box 20"/>
        <cdr:cNvSpPr txBox="1"/>
      </cdr:nvSpPr>
      <cdr:spPr>
        <a:xfrm xmlns:a="http://schemas.openxmlformats.org/drawingml/2006/main">
          <a:off x="2654300" y="285750"/>
          <a:ext cx="666750" cy="45085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GB" sz="1000">
              <a:solidFill>
                <a:schemeClr val="accent3"/>
              </a:solidFill>
              <a:effectLst/>
              <a:latin typeface="Arial" pitchFamily="34" charset="0"/>
              <a:ea typeface="+mn-ea"/>
              <a:cs typeface="Arial" pitchFamily="34" charset="0"/>
            </a:rPr>
            <a:t>Δ Board</a:t>
          </a:r>
        </a:p>
        <a:p xmlns:a="http://schemas.openxmlformats.org/drawingml/2006/main">
          <a:r>
            <a:rPr lang="en-GB" sz="1000">
              <a:solidFill>
                <a:schemeClr val="accent6"/>
              </a:solidFill>
              <a:effectLst/>
              <a:latin typeface="Arial" pitchFamily="34" charset="0"/>
              <a:ea typeface="+mn-ea"/>
              <a:cs typeface="Arial" pitchFamily="34" charset="0"/>
            </a:rPr>
            <a:t>Δ Staff</a:t>
          </a:r>
          <a:endParaRPr lang="en-GB" sz="1000">
            <a:solidFill>
              <a:schemeClr val="accent6"/>
            </a:solidFill>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102</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Penfold</dc:creator>
  <cp:lastModifiedBy>Administrator</cp:lastModifiedBy>
  <cp:revision>9</cp:revision>
  <dcterms:created xsi:type="dcterms:W3CDTF">2019-03-18T09:31:00Z</dcterms:created>
  <dcterms:modified xsi:type="dcterms:W3CDTF">2019-03-21T16:39:00Z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-789856528</vt:i4>
  </property>
  <property fmtid="{D5CDD505-2E9C-101B-9397-08002B2CF9AE}" pid="3" name="_NewReviewCycle">
    <vt:lpwstr/>
  </property>
  <property fmtid="{D5CDD505-2E9C-101B-9397-08002B2CF9AE}" pid="4" name="_EmailSubject">
    <vt:lpwstr>Culture Survey Results for last two years</vt:lpwstr>
  </property>
  <property fmtid="{D5CDD505-2E9C-101B-9397-08002B2CF9AE}" pid="5" name="_AuthorEmail">
    <vt:lpwstr>Hayley.Phillips@hafod.org.uk</vt:lpwstr>
  </property>
  <property fmtid="{D5CDD505-2E9C-101B-9397-08002B2CF9AE}" pid="6" name="_AuthorEmailDisplayName">
    <vt:lpwstr>Hayley Phillips</vt:lpwstr>
  </property>
</Properties>
</file>